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keepNext w:val="0"/>
        <w:keepLines w:val="0"/>
        <w:pageBreakBefore w:val="0"/>
        <w:widowControl/>
        <w:kinsoku/>
        <w:wordWrap/>
        <w:overflowPunct/>
        <w:topLinePunct w:val="0"/>
        <w:autoSpaceDE/>
        <w:autoSpaceDN/>
        <w:bidi w:val="0"/>
        <w:adjustRightInd/>
        <w:snapToGrid/>
        <w:spacing w:after="0" w:afterLines="0" w:line="240" w:lineRule="auto"/>
        <w:textAlignment w:val="auto"/>
        <w:rPr>
          <w:rFonts w:hint="default"/>
          <w:lang w:val="en-US" w:eastAsia="zh-CN"/>
        </w:rPr>
      </w:pPr>
      <w:r>
        <w:t>3GPP TSG RAN WG</w:t>
      </w:r>
      <w:r>
        <w:rPr>
          <w:rFonts w:hint="eastAsia"/>
          <w:lang w:eastAsia="zh-CN"/>
        </w:rPr>
        <w:t>2</w:t>
      </w:r>
      <w:r>
        <w:t xml:space="preserve"> #1</w:t>
      </w:r>
      <w:r>
        <w:rPr>
          <w:rFonts w:hint="eastAsia"/>
          <w:lang w:eastAsia="zh-CN"/>
        </w:rPr>
        <w:t>2</w:t>
      </w:r>
      <w:r>
        <w:rPr>
          <w:rFonts w:hint="eastAsia"/>
          <w:lang w:val="en-US" w:eastAsia="zh-CN"/>
        </w:rPr>
        <w:t>5</w:t>
      </w:r>
      <w:r>
        <w:tab/>
      </w:r>
      <w:r>
        <w:t>R</w:t>
      </w:r>
      <w:r>
        <w:rPr>
          <w:rFonts w:hint="eastAsia"/>
          <w:lang w:eastAsia="zh-CN"/>
        </w:rPr>
        <w:t>2</w:t>
      </w:r>
      <w:r>
        <w:t>-</w:t>
      </w:r>
      <w:r>
        <w:rPr>
          <w:rFonts w:hint="eastAsia"/>
          <w:lang w:eastAsia="zh-CN"/>
        </w:rPr>
        <w:t>2</w:t>
      </w:r>
      <w:r>
        <w:rPr>
          <w:rFonts w:hint="eastAsia"/>
          <w:lang w:val="en-US" w:eastAsia="zh-CN"/>
        </w:rPr>
        <w:t>400539</w:t>
      </w:r>
    </w:p>
    <w:p>
      <w:pPr>
        <w:pStyle w:val="44"/>
        <w:keepNext w:val="0"/>
        <w:keepLines w:val="0"/>
        <w:pageBreakBefore w:val="0"/>
        <w:widowControl/>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lang w:val="en-US" w:eastAsia="zh-CN"/>
        </w:rPr>
        <w:t>Athens, Greece,  Feb. 26th – Mar. 1st, 2024</w:t>
      </w:r>
    </w:p>
    <w:p>
      <w:pPr>
        <w:pStyle w:val="44"/>
        <w:keepNext w:val="0"/>
        <w:keepLines w:val="0"/>
        <w:pageBreakBefore w:val="0"/>
        <w:widowControl/>
        <w:kinsoku/>
        <w:wordWrap/>
        <w:overflowPunct/>
        <w:topLinePunct w:val="0"/>
        <w:autoSpaceDE/>
        <w:autoSpaceDN/>
        <w:bidi w:val="0"/>
        <w:adjustRightInd/>
        <w:snapToGrid/>
        <w:spacing w:after="0" w:afterLines="0"/>
        <w:textAlignment w:val="auto"/>
        <w:rPr>
          <w:rFonts w:cs="Arial"/>
          <w:sz w:val="22"/>
        </w:rPr>
      </w:pPr>
    </w:p>
    <w:p>
      <w:pPr>
        <w:pStyle w:val="44"/>
        <w:keepNext w:val="0"/>
        <w:keepLines w:val="0"/>
        <w:pageBreakBefore w:val="0"/>
        <w:widowControl/>
        <w:kinsoku/>
        <w:wordWrap/>
        <w:overflowPunct/>
        <w:topLinePunct w:val="0"/>
        <w:autoSpaceDE/>
        <w:autoSpaceDN/>
        <w:bidi w:val="0"/>
        <w:adjustRightInd/>
        <w:snapToGrid/>
        <w:spacing w:after="0" w:afterLines="0" w:line="300" w:lineRule="auto"/>
        <w:textAlignment w:val="auto"/>
        <w:rPr>
          <w:rFonts w:eastAsia="宋体" w:cs="Arial"/>
          <w:sz w:val="22"/>
          <w:lang w:eastAsia="zh-CN"/>
        </w:rPr>
      </w:pPr>
      <w:r>
        <w:rPr>
          <w:rFonts w:cs="Arial"/>
          <w:sz w:val="22"/>
        </w:rPr>
        <w:t>Agenda Item:</w:t>
      </w:r>
      <w:r>
        <w:rPr>
          <w:rFonts w:cs="Arial"/>
          <w:sz w:val="22"/>
        </w:rPr>
        <w:tab/>
      </w:r>
      <w:r>
        <w:rPr>
          <w:rFonts w:hint="eastAsia" w:eastAsia="宋体" w:cs="Arial"/>
          <w:sz w:val="22"/>
          <w:lang w:val="en-US" w:eastAsia="zh-CN"/>
        </w:rPr>
        <w:t>7</w:t>
      </w:r>
      <w:r>
        <w:rPr>
          <w:rFonts w:cs="Arial"/>
          <w:sz w:val="22"/>
        </w:rPr>
        <w:t>.</w:t>
      </w:r>
      <w:r>
        <w:rPr>
          <w:rFonts w:hint="eastAsia" w:eastAsia="宋体" w:cs="Arial"/>
          <w:sz w:val="22"/>
          <w:lang w:eastAsia="zh-CN"/>
        </w:rPr>
        <w:t>14</w:t>
      </w:r>
      <w:r>
        <w:rPr>
          <w:rFonts w:cs="Arial"/>
          <w:sz w:val="22"/>
        </w:rPr>
        <w:t>.</w:t>
      </w:r>
      <w:r>
        <w:rPr>
          <w:rFonts w:hint="eastAsia" w:eastAsia="宋体" w:cs="Arial"/>
          <w:sz w:val="22"/>
          <w:lang w:eastAsia="zh-CN"/>
        </w:rPr>
        <w:t>2</w:t>
      </w:r>
    </w:p>
    <w:p>
      <w:pPr>
        <w:pStyle w:val="44"/>
        <w:keepNext w:val="0"/>
        <w:keepLines w:val="0"/>
        <w:pageBreakBefore w:val="0"/>
        <w:widowControl/>
        <w:kinsoku/>
        <w:wordWrap/>
        <w:overflowPunct/>
        <w:topLinePunct w:val="0"/>
        <w:autoSpaceDE/>
        <w:autoSpaceDN/>
        <w:bidi w:val="0"/>
        <w:adjustRightInd/>
        <w:snapToGrid/>
        <w:spacing w:after="0" w:afterLines="0" w:line="300" w:lineRule="auto"/>
        <w:textAlignment w:val="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4"/>
        <w:keepNext w:val="0"/>
        <w:keepLines w:val="0"/>
        <w:pageBreakBefore w:val="0"/>
        <w:widowControl/>
        <w:kinsoku/>
        <w:wordWrap/>
        <w:overflowPunct/>
        <w:topLinePunct w:val="0"/>
        <w:autoSpaceDE/>
        <w:autoSpaceDN/>
        <w:bidi w:val="0"/>
        <w:adjustRightInd/>
        <w:snapToGrid/>
        <w:spacing w:after="0" w:afterLines="0" w:line="300" w:lineRule="auto"/>
        <w:textAlignment w:val="auto"/>
        <w:rPr>
          <w:rFonts w:eastAsia="宋体" w:cs="Arial"/>
          <w:sz w:val="22"/>
          <w:lang w:eastAsia="zh-CN"/>
        </w:rPr>
      </w:pPr>
      <w:r>
        <w:rPr>
          <w:rFonts w:cs="Arial"/>
          <w:sz w:val="22"/>
        </w:rPr>
        <w:t>Title:</w:t>
      </w:r>
      <w:r>
        <w:rPr>
          <w:rFonts w:cs="Arial"/>
          <w:sz w:val="22"/>
        </w:rPr>
        <w:tab/>
      </w:r>
      <w:r>
        <w:rPr>
          <w:rFonts w:hint="eastAsia" w:cs="Arial"/>
          <w:sz w:val="22"/>
        </w:rPr>
        <w:t>Remaining issue</w:t>
      </w:r>
      <w:r>
        <w:rPr>
          <w:rFonts w:hint="eastAsia" w:eastAsia="宋体" w:cs="Arial"/>
          <w:sz w:val="22"/>
          <w:lang w:val="en-US" w:eastAsia="zh-CN"/>
        </w:rPr>
        <w:t xml:space="preserve"> </w:t>
      </w:r>
      <w:r>
        <w:rPr>
          <w:rFonts w:hint="eastAsia" w:eastAsia="宋体"/>
          <w:sz w:val="22"/>
          <w:lang w:val="en-US" w:eastAsia="zh-CN"/>
        </w:rPr>
        <w:t>on</w:t>
      </w:r>
      <w:r>
        <w:rPr>
          <w:rFonts w:hint="eastAsia" w:eastAsia="宋体"/>
          <w:sz w:val="22"/>
          <w:lang w:eastAsia="zh-CN"/>
        </w:rPr>
        <w:t xml:space="preserve"> QoE </w:t>
      </w:r>
      <w:r>
        <w:rPr>
          <w:rFonts w:hint="eastAsia" w:eastAsia="宋体"/>
          <w:sz w:val="22"/>
          <w:lang w:val="en-US" w:eastAsia="zh-CN"/>
        </w:rPr>
        <w:t>for</w:t>
      </w:r>
      <w:r>
        <w:rPr>
          <w:rFonts w:hint="eastAsia" w:eastAsia="宋体"/>
          <w:sz w:val="22"/>
          <w:lang w:eastAsia="zh-CN"/>
        </w:rPr>
        <w:t xml:space="preserve"> IDLE and INACTIVE</w:t>
      </w:r>
    </w:p>
    <w:p>
      <w:pPr>
        <w:pStyle w:val="44"/>
        <w:keepNext w:val="0"/>
        <w:keepLines w:val="0"/>
        <w:pageBreakBefore w:val="0"/>
        <w:widowControl/>
        <w:kinsoku/>
        <w:wordWrap/>
        <w:overflowPunct/>
        <w:topLinePunct w:val="0"/>
        <w:autoSpaceDE/>
        <w:autoSpaceDN/>
        <w:bidi w:val="0"/>
        <w:adjustRightInd/>
        <w:snapToGrid/>
        <w:spacing w:after="0" w:afterLines="0" w:line="300" w:lineRule="auto"/>
        <w:textAlignment w:val="auto"/>
        <w:rPr>
          <w:rFonts w:cs="Arial"/>
          <w:sz w:val="22"/>
        </w:rPr>
      </w:pPr>
      <w:r>
        <w:rPr>
          <w:rFonts w:cs="Arial"/>
          <w:sz w:val="22"/>
        </w:rPr>
        <w:t>Document for:</w:t>
      </w:r>
      <w:r>
        <w:rPr>
          <w:rFonts w:cs="Arial"/>
          <w:sz w:val="22"/>
        </w:rPr>
        <w:tab/>
      </w:r>
      <w:r>
        <w:rPr>
          <w:rFonts w:cs="Arial"/>
          <w:sz w:val="22"/>
        </w:rPr>
        <w:t>Discussion and Decision</w:t>
      </w:r>
    </w:p>
    <w:p>
      <w:pPr>
        <w:pStyle w:val="44"/>
        <w:spacing w:after="0"/>
        <w:rPr>
          <w:color w:val="FF0000"/>
          <w:sz w:val="22"/>
        </w:rPr>
      </w:pPr>
    </w:p>
    <w:p>
      <w:pPr>
        <w:pStyle w:val="3"/>
        <w:rPr>
          <w:rFonts w:cs="Arial"/>
          <w:b/>
          <w:bCs/>
          <w:lang w:val="en-US"/>
        </w:rPr>
      </w:pPr>
      <w:r>
        <w:rPr>
          <w:rFonts w:cs="Arial"/>
          <w:b/>
          <w:bCs/>
          <w:lang w:val="en-US"/>
        </w:rPr>
        <w:t>Introduction</w:t>
      </w:r>
    </w:p>
    <w:p>
      <w:pPr>
        <w:spacing w:before="120" w:beforeLines="50" w:after="100"/>
      </w:pPr>
      <w:r>
        <w:rPr>
          <w:rFonts w:hint="eastAsia"/>
        </w:rPr>
        <w:t>In RAN2#1</w:t>
      </w:r>
      <w:r>
        <w:rPr>
          <w:rFonts w:hint="eastAsia" w:eastAsia="宋体"/>
          <w:lang w:val="en-US" w:eastAsia="zh-CN"/>
        </w:rPr>
        <w:t>24</w:t>
      </w:r>
      <w:r>
        <w:rPr>
          <w:rFonts w:hint="eastAsia"/>
        </w:rPr>
        <w:t xml:space="preserve"> e-meeting</w:t>
      </w:r>
      <w:r>
        <w:t xml:space="preserve">, </w:t>
      </w:r>
      <w:r>
        <w:rPr>
          <w:rFonts w:hint="eastAsia" w:eastAsia="宋体"/>
          <w:lang w:val="en-US" w:eastAsia="zh-CN"/>
        </w:rPr>
        <w:t xml:space="preserve">further </w:t>
      </w:r>
      <w:r>
        <w:t xml:space="preserve"> agreements have been achieved:</w:t>
      </w:r>
    </w:p>
    <w:tbl>
      <w:tblPr>
        <w:tblStyle w:val="27"/>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7"/>
              </w:numPr>
              <w:tabs>
                <w:tab w:val="left" w:pos="0"/>
                <w:tab w:val="left" w:pos="1619"/>
              </w:tabs>
              <w:spacing w:after="40" w:line="276" w:lineRule="auto"/>
              <w:rPr>
                <w:rFonts w:hint="eastAsia"/>
                <w:lang w:val="en-GB" w:eastAsia="zh-CN"/>
              </w:rPr>
            </w:pPr>
            <w:r>
              <w:rPr>
                <w:rFonts w:hint="eastAsia"/>
                <w:lang w:val="en-GB" w:eastAsia="zh-CN"/>
              </w:rPr>
              <w:t>The following agreements are based on the assumption that we use AS-layer area scope checking:</w:t>
            </w:r>
          </w:p>
          <w:p>
            <w:pPr>
              <w:keepNext w:val="0"/>
              <w:keepLines w:val="0"/>
              <w:pageBreakBefore w:val="0"/>
              <w:widowControl/>
              <w:numPr>
                <w:ilvl w:val="0"/>
                <w:numId w:val="8"/>
              </w:numPr>
              <w:tabs>
                <w:tab w:val="left" w:pos="0"/>
                <w:tab w:val="left" w:pos="1619"/>
              </w:tabs>
              <w:kinsoku/>
              <w:wordWrap/>
              <w:overflowPunct/>
              <w:topLinePunct w:val="0"/>
              <w:autoSpaceDE/>
              <w:autoSpaceDN/>
              <w:bidi w:val="0"/>
              <w:adjustRightInd/>
              <w:snapToGrid/>
              <w:spacing w:after="0" w:afterLines="0" w:line="276" w:lineRule="auto"/>
              <w:ind w:left="820" w:leftChars="200" w:hanging="420" w:firstLineChars="0"/>
              <w:textAlignment w:val="auto"/>
              <w:rPr>
                <w:rFonts w:hint="eastAsia"/>
                <w:lang w:val="en-GB" w:eastAsia="zh-CN"/>
              </w:rPr>
            </w:pPr>
            <w:r>
              <w:rPr>
                <w:rFonts w:hint="eastAsia"/>
                <w:lang w:val="en-GB" w:eastAsia="zh-CN"/>
              </w:rPr>
              <w:t>The gNB forwards the area scope to the UE AS together with the IDLE/INACTIVE applicable QoE configuration in the MeasConfigAppLayer IE.</w:t>
            </w:r>
          </w:p>
          <w:p>
            <w:pPr>
              <w:keepNext w:val="0"/>
              <w:keepLines w:val="0"/>
              <w:pageBreakBefore w:val="0"/>
              <w:widowControl/>
              <w:numPr>
                <w:ilvl w:val="0"/>
                <w:numId w:val="8"/>
              </w:numPr>
              <w:tabs>
                <w:tab w:val="left" w:pos="0"/>
                <w:tab w:val="left" w:pos="1619"/>
              </w:tabs>
              <w:kinsoku/>
              <w:wordWrap/>
              <w:overflowPunct/>
              <w:topLinePunct w:val="0"/>
              <w:autoSpaceDE/>
              <w:autoSpaceDN/>
              <w:bidi w:val="0"/>
              <w:adjustRightInd/>
              <w:snapToGrid/>
              <w:spacing w:after="0" w:afterLines="0" w:line="276" w:lineRule="auto"/>
              <w:ind w:left="820" w:leftChars="200" w:hanging="420" w:firstLineChars="0"/>
              <w:textAlignment w:val="auto"/>
              <w:rPr>
                <w:rFonts w:hint="eastAsia"/>
                <w:lang w:val="en-GB" w:eastAsia="zh-CN"/>
              </w:rPr>
            </w:pPr>
            <w:r>
              <w:rPr>
                <w:rFonts w:hint="eastAsia"/>
                <w:lang w:val="en-GB" w:eastAsia="zh-CN"/>
              </w:rPr>
              <w:t>RAN2 should send an LS to CT1 and SA4, asking CT1 to extend the +CAPLEVMCNR AT command with an “inside area”/”outside area” indication or specify a new AT command for conveying such an indication from the UE AS to the UE application. AS layer sends this indication whenever it moves in/out area scope and APP layer only considers it for non-ongoing QoE measurement session</w:t>
            </w:r>
          </w:p>
          <w:p>
            <w:pPr>
              <w:keepNext w:val="0"/>
              <w:keepLines w:val="0"/>
              <w:pageBreakBefore w:val="0"/>
              <w:widowControl/>
              <w:numPr>
                <w:ilvl w:val="0"/>
                <w:numId w:val="8"/>
              </w:numPr>
              <w:tabs>
                <w:tab w:val="left" w:pos="0"/>
                <w:tab w:val="left" w:pos="1619"/>
              </w:tabs>
              <w:kinsoku/>
              <w:wordWrap/>
              <w:overflowPunct/>
              <w:topLinePunct w:val="0"/>
              <w:autoSpaceDE/>
              <w:autoSpaceDN/>
              <w:bidi w:val="0"/>
              <w:adjustRightInd/>
              <w:snapToGrid/>
              <w:spacing w:after="0" w:afterLines="0" w:line="276" w:lineRule="auto"/>
              <w:ind w:left="820" w:leftChars="200" w:hanging="420" w:firstLineChars="0"/>
              <w:textAlignment w:val="auto"/>
              <w:rPr>
                <w:rFonts w:hint="eastAsia"/>
                <w:lang w:val="en-GB" w:eastAsia="zh-CN"/>
              </w:rPr>
            </w:pPr>
            <w:r>
              <w:rPr>
                <w:rFonts w:hint="eastAsia"/>
                <w:lang w:val="en-GB" w:eastAsia="zh-CN"/>
              </w:rPr>
              <w:t>The UE shall not autonomously release a QoE configuration when the UE leaves the area scope in RRC_IDLE or RRC_INACTIVE state.</w:t>
            </w:r>
          </w:p>
          <w:p>
            <w:pPr>
              <w:pStyle w:val="2"/>
              <w:rPr>
                <w:rFonts w:hint="eastAsia"/>
                <w:lang w:val="en-GB" w:eastAsia="zh-CN"/>
              </w:rPr>
            </w:pP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The gNB can configure a priority level for each QoE configuration. When the AS buffer for QoE becomes full in IDLE/INACTIVE state, the UE first discards the QoE measurements associating to the QoE configuration with the lowest priority.</w:t>
            </w: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Priority level is optionally configured by the network</w:t>
            </w: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The QoE configuration without priority level is considered as the lowest priority.</w:t>
            </w: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If none of the QoE configurations is associated to a priority level, the UE may first discard the oldest QoE measurement when the AS buffer becomes full.</w:t>
            </w: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When transferring to RRC_CONNECTED, UE should check the PLMN of target gNB before UE forwards any QoE information.</w:t>
            </w: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If PLMN UE connects to is not included in the area scope and is different from the one which provided the QoE configuration, UE should not forward QoE configuration and report and release them.</w:t>
            </w: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RAN2 will use explicit indicator in AS-layer on whether a QoE configuration is also applicable in RRC-IDLE and INACTIVE states. One indicator for both IDLE and INACTIVE states is assumed unless it causes issues during CR implementation.</w:t>
            </w: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RAN2 assumes this has no impact on RAN3, i.e. this indication is set based on the information already available at the gNB (e.g. broadcast indication). </w:t>
            </w: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QoE measurement reporting procedure is used to transmit QoE configurations info to the gNB, i.e. the NW configures SRB4 and UE send QoE configurations and/or QoE reports (if available).</w:t>
            </w: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Introduce a 1-bit indicator in RRCReconfiguration/RRCResume to indicate gNB supports MBS QoE configuration/report retrieval.</w:t>
            </w:r>
          </w:p>
          <w:p>
            <w:pPr>
              <w:keepNext w:val="0"/>
              <w:keepLines w:val="0"/>
              <w:pageBreakBefore w:val="0"/>
              <w:widowControl/>
              <w:numPr>
                <w:ilvl w:val="0"/>
                <w:numId w:val="8"/>
              </w:numPr>
              <w:tabs>
                <w:tab w:val="left" w:pos="0"/>
                <w:tab w:val="left" w:pos="1619"/>
              </w:tabs>
              <w:kinsoku/>
              <w:wordWrap/>
              <w:overflowPunct/>
              <w:topLinePunct w:val="0"/>
              <w:autoSpaceDE/>
              <w:autoSpaceDN/>
              <w:bidi w:val="0"/>
              <w:adjustRightInd/>
              <w:snapToGrid/>
              <w:spacing w:after="0" w:afterLines="0" w:line="276" w:lineRule="auto"/>
              <w:ind w:left="820" w:leftChars="200" w:hanging="420" w:firstLineChars="0"/>
              <w:textAlignment w:val="auto"/>
              <w:rPr>
                <w:rFonts w:hint="eastAsia"/>
                <w:lang w:val="en-GB" w:eastAsia="zh-CN"/>
              </w:rPr>
            </w:pPr>
            <w:r>
              <w:rPr>
                <w:rFonts w:hint="eastAsia"/>
                <w:lang w:val="en-GB" w:eastAsia="zh-CN"/>
              </w:rPr>
              <w:t>If the indicator is present, UE can send MBS QoE configuration and/or reports.</w:t>
            </w:r>
          </w:p>
          <w:p>
            <w:pPr>
              <w:keepNext w:val="0"/>
              <w:keepLines w:val="0"/>
              <w:pageBreakBefore w:val="0"/>
              <w:widowControl/>
              <w:numPr>
                <w:ilvl w:val="0"/>
                <w:numId w:val="8"/>
              </w:numPr>
              <w:tabs>
                <w:tab w:val="left" w:pos="0"/>
                <w:tab w:val="left" w:pos="1619"/>
              </w:tabs>
              <w:kinsoku/>
              <w:wordWrap/>
              <w:overflowPunct/>
              <w:topLinePunct w:val="0"/>
              <w:autoSpaceDE/>
              <w:autoSpaceDN/>
              <w:bidi w:val="0"/>
              <w:adjustRightInd/>
              <w:snapToGrid/>
              <w:spacing w:after="0" w:afterLines="0" w:line="276" w:lineRule="auto"/>
              <w:ind w:left="820" w:leftChars="200" w:hanging="420" w:firstLineChars="0"/>
              <w:textAlignment w:val="auto"/>
              <w:rPr>
                <w:rFonts w:hint="eastAsia"/>
                <w:lang w:val="en-GB" w:eastAsia="zh-CN"/>
              </w:rPr>
            </w:pPr>
            <w:r>
              <w:rPr>
                <w:rFonts w:hint="eastAsia"/>
                <w:lang w:val="en-GB" w:eastAsia="zh-CN"/>
              </w:rPr>
              <w:t>Otherwise (i.e., the indicator is absent), UE releases all MBS QoE configurations and reports.</w:t>
            </w:r>
          </w:p>
          <w:p>
            <w:pPr>
              <w:numPr>
                <w:ilvl w:val="0"/>
                <w:numId w:val="7"/>
              </w:numPr>
              <w:tabs>
                <w:tab w:val="left" w:pos="0"/>
                <w:tab w:val="left" w:pos="1619"/>
              </w:tabs>
              <w:spacing w:after="40" w:line="276" w:lineRule="auto"/>
              <w:rPr>
                <w:rFonts w:hint="eastAsia"/>
                <w:lang w:val="en-GB" w:eastAsia="zh-CN"/>
              </w:rPr>
            </w:pPr>
            <w:r>
              <w:rPr>
                <w:rFonts w:hint="eastAsia"/>
                <w:lang w:val="en-GB" w:eastAsia="zh-CN"/>
              </w:rPr>
              <w:t>Share the 1-bit indication (previously agreed in RAN2) to indicate availability of QoE configurations and/or reports stored in the UE.</w:t>
            </w:r>
          </w:p>
        </w:tc>
      </w:tr>
    </w:tbl>
    <w:p>
      <w:pPr>
        <w:keepNext w:val="0"/>
        <w:keepLines w:val="0"/>
        <w:widowControl/>
        <w:suppressLineNumbers w:val="0"/>
        <w:jc w:val="left"/>
        <w:rPr>
          <w:rFonts w:hint="default" w:eastAsia="宋体"/>
          <w:lang w:val="en-US" w:eastAsia="zh-CN"/>
        </w:rPr>
      </w:pPr>
      <w:r>
        <w:rPr>
          <w:rFonts w:hint="eastAsia"/>
          <w:bCs/>
          <w:lang w:val="en-US" w:eastAsia="zh-CN"/>
        </w:rPr>
        <w:t>The</w:t>
      </w:r>
      <w:r>
        <w:rPr>
          <w:bCs/>
          <w:lang w:eastAsia="zh-CN"/>
        </w:rPr>
        <w:t xml:space="preserve"> contribution</w:t>
      </w:r>
      <w:r>
        <w:rPr>
          <w:rFonts w:hint="eastAsia"/>
          <w:bCs/>
          <w:lang w:val="en-US" w:eastAsia="zh-CN"/>
        </w:rPr>
        <w:t xml:space="preserve"> intends to</w:t>
      </w:r>
      <w:r>
        <w:rPr>
          <w:bCs/>
          <w:highlight w:val="none"/>
          <w:lang w:eastAsia="zh-CN"/>
        </w:rPr>
        <w:t xml:space="preserve"> discuss </w:t>
      </w:r>
      <w:r>
        <w:rPr>
          <w:rFonts w:hint="eastAsia"/>
          <w:bCs/>
          <w:highlight w:val="none"/>
          <w:lang w:val="en-US" w:eastAsia="zh-CN"/>
        </w:rPr>
        <w:t xml:space="preserve">remaining </w:t>
      </w:r>
      <w:r>
        <w:rPr>
          <w:bCs/>
          <w:highlight w:val="none"/>
          <w:lang w:eastAsia="zh-CN"/>
        </w:rPr>
        <w:t xml:space="preserve">issues </w:t>
      </w:r>
      <w:r>
        <w:rPr>
          <w:rFonts w:hint="eastAsia"/>
          <w:bCs/>
          <w:highlight w:val="none"/>
          <w:lang w:val="en-US" w:eastAsia="zh-CN"/>
        </w:rPr>
        <w:t xml:space="preserve">on MBS QoE as identified in </w:t>
      </w:r>
      <w:r>
        <w:t>RRC/ASN.1 review comments</w:t>
      </w:r>
      <w:r>
        <w:rPr>
          <w:rFonts w:hint="eastAsia"/>
          <w:bCs/>
          <w:highlight w:val="none"/>
          <w:lang w:val="en-US" w:eastAsia="zh-CN"/>
        </w:rPr>
        <w:t>, e.g. the start timing to count 48 hours for report release</w:t>
      </w:r>
      <w:r>
        <w:rPr>
          <w:rFonts w:hint="eastAsia" w:ascii="Times New Roman" w:hAnsi="Times New Roman"/>
          <w:bCs/>
          <w:highlight w:val="none"/>
          <w:lang w:val="en-US" w:eastAsia="zh-CN"/>
        </w:rPr>
        <w:t xml:space="preserve">, PLMN checking and etc., taking into </w:t>
      </w:r>
      <w:r>
        <w:rPr>
          <w:rFonts w:hint="eastAsia" w:eastAsia="宋体"/>
          <w:highlight w:val="none"/>
          <w:lang w:val="en-US" w:eastAsia="zh-CN"/>
        </w:rPr>
        <w:t>the progress in other groups and the corresponding LS in [1] and [2].</w:t>
      </w:r>
    </w:p>
    <w:p>
      <w:pPr>
        <w:pStyle w:val="3"/>
        <w:rPr>
          <w:rFonts w:cs="Arial"/>
          <w:b/>
          <w:lang w:val="en-US"/>
        </w:rPr>
      </w:pPr>
      <w:r>
        <w:rPr>
          <w:rFonts w:cs="Arial"/>
          <w:b/>
          <w:bCs/>
          <w:lang w:val="en-US"/>
        </w:rPr>
        <w:t xml:space="preserve">Discussion </w:t>
      </w:r>
    </w:p>
    <w:p>
      <w:pPr>
        <w:pStyle w:val="4"/>
        <w:spacing w:line="360" w:lineRule="auto"/>
        <w:rPr>
          <w:rStyle w:val="29"/>
          <w:rFonts w:hint="default" w:ascii="Arial" w:hAnsi="Arial" w:eastAsia="宋体" w:cs="Arial"/>
          <w:b/>
          <w:bCs/>
          <w:color w:val="auto"/>
          <w:lang w:val="en-US" w:eastAsia="zh-CN"/>
        </w:rPr>
      </w:pPr>
      <w:r>
        <w:rPr>
          <w:rStyle w:val="29"/>
          <w:rFonts w:hint="eastAsia" w:ascii="Arial" w:hAnsi="Arial" w:eastAsia="宋体" w:cs="Arial"/>
          <w:b/>
          <w:bCs/>
          <w:color w:val="auto"/>
          <w:lang w:val="en-US" w:eastAsia="zh-CN"/>
        </w:rPr>
        <w:t xml:space="preserve">Start timing to count 48 hours for report release </w:t>
      </w:r>
    </w:p>
    <w:p>
      <w:pPr>
        <w:numPr>
          <w:ilvl w:val="0"/>
          <w:numId w:val="0"/>
        </w:numPr>
        <w:tabs>
          <w:tab w:val="left" w:pos="0"/>
          <w:tab w:val="left" w:pos="1619"/>
        </w:tabs>
        <w:spacing w:after="40" w:line="276" w:lineRule="auto"/>
        <w:ind w:leftChars="0"/>
        <w:jc w:val="both"/>
        <w:rPr>
          <w:rFonts w:hint="default" w:ascii="Times New Roman" w:hAnsi="Times New Roman" w:cs="Times New Roman"/>
          <w:bCs/>
          <w:sz w:val="20"/>
          <w:szCs w:val="22"/>
          <w:lang w:val="en-US" w:eastAsia="zh-CN" w:bidi="ar-SA"/>
        </w:rPr>
      </w:pPr>
      <w:r>
        <w:rPr>
          <w:rFonts w:hint="eastAsia" w:ascii="Times New Roman" w:hAnsi="Times New Roman" w:cs="Times New Roman"/>
          <w:bCs/>
          <w:lang w:val="en-US" w:eastAsia="zh-CN"/>
        </w:rPr>
        <w:t>Based on the editor's note in Chapter 5.3.5.13d</w:t>
      </w:r>
      <w:r>
        <w:rPr>
          <w:rFonts w:hint="eastAsia" w:cs="Times New Roman"/>
          <w:bCs/>
          <w:lang w:val="en-US" w:eastAsia="zh-CN"/>
        </w:rPr>
        <w:t xml:space="preserve"> </w:t>
      </w:r>
      <w:r>
        <w:rPr>
          <w:rFonts w:hint="eastAsia" w:eastAsia="宋体"/>
          <w:highlight w:val="none"/>
          <w:lang w:val="en-US" w:eastAsia="zh-CN"/>
        </w:rPr>
        <w:t>[3]</w:t>
      </w:r>
      <w:r>
        <w:rPr>
          <w:rFonts w:hint="eastAsia" w:ascii="Times New Roman" w:hAnsi="Times New Roman" w:cs="Times New Roman"/>
          <w:bCs/>
          <w:lang w:val="en-US" w:eastAsia="zh-CN"/>
        </w:rPr>
        <w:t xml:space="preserve">, FFS on when the 48 hours start for when the UE may discard application layer measurement configuration and reports. </w:t>
      </w:r>
      <w:r>
        <w:rPr>
          <w:rFonts w:hint="default" w:ascii="Times New Roman" w:hAnsi="Times New Roman" w:cs="Times New Roman"/>
          <w:bCs/>
          <w:lang w:val="en-US" w:eastAsia="zh-CN"/>
        </w:rPr>
        <w:t xml:space="preserve">In our understanding, it is reasonable for the </w:t>
      </w:r>
      <w:r>
        <w:rPr>
          <w:rFonts w:hint="eastAsia" w:ascii="Times New Roman" w:hAnsi="Times New Roman" w:cs="Times New Roman"/>
          <w:bCs/>
          <w:lang w:val="en-US" w:eastAsia="zh-CN"/>
        </w:rPr>
        <w:t xml:space="preserve">UE </w:t>
      </w:r>
      <w:r>
        <w:rPr>
          <w:rFonts w:hint="default" w:ascii="Times New Roman" w:hAnsi="Times New Roman" w:cs="Times New Roman"/>
          <w:bCs/>
          <w:lang w:val="en-US" w:eastAsia="zh-CN"/>
        </w:rPr>
        <w:t xml:space="preserve">AS layer to start a timer only when the corresponding QoE measurement has stopped for the application layer measurement configuration and reports. Starting the </w:t>
      </w:r>
      <w:r>
        <w:rPr>
          <w:rFonts w:hint="eastAsia" w:cs="Times New Roman"/>
          <w:bCs/>
          <w:lang w:val="en-US" w:eastAsia="zh-CN"/>
        </w:rPr>
        <w:t>counting the duration time</w:t>
      </w:r>
      <w:r>
        <w:rPr>
          <w:rFonts w:hint="default" w:ascii="Times New Roman" w:hAnsi="Times New Roman" w:cs="Times New Roman"/>
          <w:bCs/>
          <w:lang w:val="en-US" w:eastAsia="zh-CN"/>
        </w:rPr>
        <w:t xml:space="preserve"> at the beginning of the measurement cannot determine the potential duration of the measurement, so it is only logical to start </w:t>
      </w:r>
      <w:r>
        <w:rPr>
          <w:rFonts w:hint="eastAsia" w:cs="Times New Roman"/>
          <w:bCs/>
          <w:lang w:val="en-US" w:eastAsia="zh-CN"/>
        </w:rPr>
        <w:t>counting the duration time</w:t>
      </w:r>
      <w:r>
        <w:rPr>
          <w:rFonts w:hint="default" w:ascii="Times New Roman" w:hAnsi="Times New Roman" w:cs="Times New Roman"/>
          <w:bCs/>
          <w:lang w:val="en-US" w:eastAsia="zh-CN"/>
        </w:rPr>
        <w:t xml:space="preserve"> when the measurement stops. Additionally, if the QoE measurement is resumed before the timer expires, the timer should be reset.</w:t>
      </w:r>
      <w:r>
        <w:rPr>
          <w:rFonts w:hint="eastAsia" w:ascii="Times New Roman" w:hAnsi="Times New Roman" w:cs="Times New Roman"/>
          <w:bCs/>
          <w:lang w:val="en-US" w:eastAsia="zh-CN"/>
        </w:rPr>
        <w:t xml:space="preserve"> Therefore，When the corresponding QoE measurement stops, a 48-hour timer should be initiated. Upon the expiration of this timer, the UE can discard the application layer measurement configuration and reports.</w:t>
      </w:r>
    </w:p>
    <w:p>
      <w:pPr>
        <w:rPr>
          <w:rFonts w:hint="default"/>
          <w:lang w:val="en-US" w:eastAsia="zh-CN"/>
        </w:rPr>
      </w:pPr>
      <w:r>
        <w:rPr>
          <w:rFonts w:hint="eastAsia" w:ascii="Times New Roman" w:hAnsi="Times New Roman" w:cs="Times New Roman"/>
          <w:b/>
          <w:bCs w:val="0"/>
          <w:lang w:val="en-US" w:eastAsia="zh-CN"/>
        </w:rPr>
        <w:t>Proposal 1:</w:t>
      </w:r>
      <w:r>
        <w:rPr>
          <w:rFonts w:hint="default" w:ascii="Times New Roman" w:hAnsi="Times New Roman" w:cs="Times New Roman"/>
          <w:b/>
          <w:bCs w:val="0"/>
          <w:lang w:val="en-US" w:eastAsia="zh-CN"/>
        </w:rPr>
        <w:t xml:space="preserve"> </w:t>
      </w:r>
      <w:r>
        <w:rPr>
          <w:rFonts w:hint="eastAsia" w:cs="Times New Roman"/>
          <w:b/>
          <w:bCs w:val="0"/>
          <w:lang w:val="en-US" w:eastAsia="zh-CN"/>
        </w:rPr>
        <w:t>UE (re)s</w:t>
      </w:r>
      <w:r>
        <w:rPr>
          <w:rFonts w:hint="default" w:ascii="Times New Roman" w:hAnsi="Times New Roman" w:cs="Times New Roman"/>
          <w:b/>
          <w:bCs w:val="0"/>
          <w:lang w:val="en-US" w:eastAsia="zh-CN"/>
        </w:rPr>
        <w:t>tart</w:t>
      </w:r>
      <w:r>
        <w:rPr>
          <w:rFonts w:hint="eastAsia" w:cs="Times New Roman"/>
          <w:b/>
          <w:bCs w:val="0"/>
          <w:lang w:val="en-US" w:eastAsia="zh-CN"/>
        </w:rPr>
        <w:t>s</w:t>
      </w:r>
      <w:r>
        <w:rPr>
          <w:rFonts w:hint="default" w:ascii="Times New Roman" w:hAnsi="Times New Roman" w:cs="Times New Roman"/>
          <w:b/>
          <w:bCs w:val="0"/>
          <w:lang w:val="en-US" w:eastAsia="zh-CN"/>
        </w:rPr>
        <w:t xml:space="preserve"> </w:t>
      </w:r>
      <w:r>
        <w:rPr>
          <w:rFonts w:hint="eastAsia" w:cs="Times New Roman"/>
          <w:b/>
          <w:bCs w:val="0"/>
          <w:lang w:val="en-US" w:eastAsia="zh-CN"/>
        </w:rPr>
        <w:t>counting</w:t>
      </w:r>
      <w:r>
        <w:rPr>
          <w:rFonts w:hint="default" w:ascii="Times New Roman" w:hAnsi="Times New Roman" w:cs="Times New Roman"/>
          <w:b/>
          <w:bCs w:val="0"/>
          <w:lang w:val="en-US" w:eastAsia="zh-CN"/>
        </w:rPr>
        <w:t xml:space="preserve"> 48-hour </w:t>
      </w:r>
      <w:r>
        <w:rPr>
          <w:rFonts w:hint="eastAsia" w:cs="Times New Roman"/>
          <w:b/>
          <w:bCs w:val="0"/>
          <w:lang w:val="en-US" w:eastAsia="zh-CN"/>
        </w:rPr>
        <w:t>duration</w:t>
      </w:r>
      <w:r>
        <w:rPr>
          <w:rFonts w:hint="default" w:ascii="Times New Roman" w:hAnsi="Times New Roman" w:cs="Times New Roman"/>
          <w:b/>
          <w:bCs w:val="0"/>
          <w:lang w:val="en-US" w:eastAsia="zh-CN"/>
        </w:rPr>
        <w:t xml:space="preserve"> </w:t>
      </w:r>
      <w:r>
        <w:rPr>
          <w:rFonts w:hint="eastAsia" w:cs="Times New Roman"/>
          <w:b/>
          <w:bCs w:val="0"/>
          <w:lang w:val="en-US" w:eastAsia="zh-CN"/>
        </w:rPr>
        <w:t>when</w:t>
      </w:r>
      <w:r>
        <w:rPr>
          <w:rFonts w:hint="default" w:ascii="Times New Roman" w:hAnsi="Times New Roman" w:cs="Times New Roman"/>
          <w:b/>
          <w:bCs w:val="0"/>
          <w:lang w:val="en-US" w:eastAsia="zh-CN"/>
        </w:rPr>
        <w:t xml:space="preserve"> the corresponding QoE measurement stops</w:t>
      </w:r>
      <w:r>
        <w:rPr>
          <w:rFonts w:hint="eastAsia" w:cs="Times New Roman"/>
          <w:b/>
          <w:bCs w:val="0"/>
          <w:lang w:val="en-US" w:eastAsia="zh-CN"/>
        </w:rPr>
        <w:t>, and reset the counting when QoE measurement resumes.</w:t>
      </w:r>
    </w:p>
    <w:p>
      <w:pPr>
        <w:pStyle w:val="4"/>
        <w:spacing w:line="360" w:lineRule="auto"/>
        <w:rPr>
          <w:rStyle w:val="29"/>
          <w:rFonts w:hint="default" w:ascii="Arial" w:hAnsi="Arial" w:eastAsia="宋体" w:cs="Arial"/>
          <w:b/>
          <w:bCs/>
          <w:color w:val="auto"/>
          <w:lang w:val="en-US" w:eastAsia="zh-CN"/>
        </w:rPr>
      </w:pPr>
      <w:r>
        <w:rPr>
          <w:rStyle w:val="29"/>
          <w:rFonts w:hint="eastAsia" w:ascii="Arial" w:hAnsi="Arial" w:eastAsia="宋体" w:cs="Arial"/>
          <w:b/>
          <w:bCs/>
          <w:color w:val="auto"/>
          <w:lang w:val="en-US" w:eastAsia="zh-CN"/>
        </w:rPr>
        <w:t>PLMN checking</w:t>
      </w:r>
    </w:p>
    <w:p>
      <w:pPr>
        <w:numPr>
          <w:ilvl w:val="0"/>
          <w:numId w:val="0"/>
        </w:numPr>
        <w:tabs>
          <w:tab w:val="left" w:pos="0"/>
          <w:tab w:val="left" w:pos="1619"/>
        </w:tabs>
        <w:spacing w:after="40" w:line="276" w:lineRule="auto"/>
        <w:ind w:leftChars="0"/>
        <w:jc w:val="both"/>
        <w:rPr>
          <w:rFonts w:hint="eastAsia" w:ascii="Times New Roman" w:hAnsi="Times New Roman" w:cs="Times New Roman"/>
          <w:bCs/>
          <w:lang w:val="en-US" w:eastAsia="zh-CN"/>
        </w:rPr>
      </w:pPr>
      <w:r>
        <w:rPr>
          <w:rFonts w:hint="eastAsia" w:ascii="Times New Roman" w:hAnsi="Times New Roman" w:cs="Times New Roman"/>
          <w:bCs/>
          <w:lang w:val="en-US" w:eastAsia="zh-CN"/>
        </w:rPr>
        <w:t>In RAN2#124, RAN2 agreed i</w:t>
      </w:r>
      <w:r>
        <w:rPr>
          <w:rFonts w:hint="eastAsia" w:ascii="Times New Roman" w:hAnsi="Times New Roman" w:cs="Times New Roman"/>
          <w:bCs/>
          <w:lang w:val="en-GB" w:eastAsia="zh-CN"/>
        </w:rPr>
        <w:t>f PLMN UE connects to is not included in the area scope and is different from the one which provided the QoE configuration, UE should not forward QoE configuration and report and release them.</w:t>
      </w:r>
      <w:r>
        <w:rPr>
          <w:rFonts w:hint="eastAsia" w:ascii="Times New Roman" w:hAnsi="Times New Roman" w:cs="Times New Roman"/>
          <w:bCs/>
          <w:lang w:val="en-US" w:eastAsia="zh-CN"/>
        </w:rPr>
        <w:t xml:space="preserve"> </w:t>
      </w:r>
      <w:r>
        <w:rPr>
          <w:rFonts w:hint="default" w:ascii="Times New Roman" w:hAnsi="Times New Roman" w:cs="Times New Roman"/>
          <w:bCs/>
          <w:lang w:val="en-US" w:eastAsia="zh-CN"/>
        </w:rPr>
        <w:t>The primary intention of considering PLMN checking in QoE is to avoid sending stored QoE reports in the RRC_IDLE/INACTIVE state to a PLMN belonging to another operator. If the UE is connected to a PLMN that is not within the regional scope and differs from the PLMN that provided the QoE configuration, the UE will not forward the QoE configuration and reports, and</w:t>
      </w:r>
      <w:r>
        <w:rPr>
          <w:rFonts w:hint="eastAsia" w:ascii="Times New Roman" w:hAnsi="Times New Roman" w:cs="Times New Roman"/>
          <w:bCs/>
          <w:lang w:val="en-US" w:eastAsia="zh-CN"/>
        </w:rPr>
        <w:t xml:space="preserve"> </w:t>
      </w:r>
      <w:r>
        <w:rPr>
          <w:rFonts w:hint="default" w:ascii="Times New Roman" w:hAnsi="Times New Roman" w:cs="Times New Roman"/>
          <w:bCs/>
          <w:lang w:val="en-US" w:eastAsia="zh-CN"/>
        </w:rPr>
        <w:t>release them. In other words, there is a corresponding relationship between QoE configuration information and PLMN in both connected and non-connected states.</w:t>
      </w:r>
    </w:p>
    <w:p>
      <w:pPr>
        <w:numPr>
          <w:ilvl w:val="0"/>
          <w:numId w:val="0"/>
        </w:numPr>
        <w:tabs>
          <w:tab w:val="left" w:pos="0"/>
          <w:tab w:val="left" w:pos="1619"/>
        </w:tabs>
        <w:spacing w:after="40" w:line="276" w:lineRule="auto"/>
        <w:ind w:leftChars="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When a QoE measurement is ongoing in the non-connected state and the UE initiates a PLMN reselection, it implies that the RPLMN (Registered PLMN) may potentially change.</w:t>
      </w:r>
      <w:r>
        <w:rPr>
          <w:rFonts w:hint="eastAsia" w:ascii="Times New Roman" w:hAnsi="Times New Roman" w:cs="Times New Roman"/>
          <w:bCs/>
          <w:lang w:val="en-US" w:eastAsia="zh-CN"/>
        </w:rPr>
        <w:t xml:space="preserve"> </w:t>
      </w:r>
      <w:r>
        <w:rPr>
          <w:rFonts w:hint="default" w:ascii="Times New Roman" w:hAnsi="Times New Roman" w:cs="Times New Roman"/>
          <w:bCs/>
          <w:lang w:val="en-US" w:eastAsia="zh-CN"/>
        </w:rPr>
        <w:t>The behavior of QoE measurements and the reporting of measurement reports in this scenario require further discussion. In our understanding, it may not be desirable for the UE to directly stop the corresponding QoE measurement. However, if the QoE measurement is continued, the corresponding RPLMN ID should be marked in the measurement report. In other words, the stored report (MeasurementReportAppLayer) should include RPLMN ID information. Furthermore, to facilitate terminal identification of measurement reports stored under different PLMN IDs, a unique identifier associated with each RPLMN ID should be defined on the terminal side.</w:t>
      </w:r>
    </w:p>
    <w:p>
      <w:pPr>
        <w:bidi w:val="0"/>
        <w:jc w:val="both"/>
        <w:rPr>
          <w:rFonts w:hint="default" w:ascii="Times New Roman" w:hAnsi="Times New Roman" w:cs="Times New Roman"/>
          <w:b/>
          <w:bCs w:val="0"/>
          <w:sz w:val="20"/>
          <w:szCs w:val="22"/>
          <w:lang w:val="en-US" w:eastAsia="zh-CN" w:bidi="ar-SA"/>
        </w:rPr>
      </w:pPr>
      <w:r>
        <w:rPr>
          <w:rFonts w:hint="default" w:ascii="Times New Roman" w:hAnsi="Times New Roman" w:cs="Times New Roman"/>
          <w:b/>
          <w:bCs w:val="0"/>
          <w:sz w:val="20"/>
          <w:szCs w:val="22"/>
          <w:lang w:val="en-US" w:eastAsia="zh-CN" w:bidi="ar-SA"/>
        </w:rPr>
        <w:t xml:space="preserve">Observation 1: </w:t>
      </w:r>
      <w:r>
        <w:rPr>
          <w:rFonts w:hint="eastAsia" w:ascii="Times New Roman" w:hAnsi="Times New Roman" w:cs="Times New Roman"/>
          <w:b/>
          <w:bCs w:val="0"/>
          <w:sz w:val="20"/>
          <w:szCs w:val="22"/>
          <w:lang w:val="en-US" w:eastAsia="zh-CN" w:bidi="ar-SA"/>
        </w:rPr>
        <w:t>When a QoE measurement is ongoing in the non-connected state and the UE initiates a PLMN reselection, it implies that the RPLMN may potentially change.</w:t>
      </w:r>
    </w:p>
    <w:p>
      <w:pPr>
        <w:bidi w:val="0"/>
        <w:jc w:val="both"/>
        <w:rPr>
          <w:rFonts w:hint="default" w:ascii="Times New Roman" w:hAnsi="Times New Roman" w:cs="Times New Roman"/>
          <w:b/>
          <w:bCs w:val="0"/>
          <w:sz w:val="20"/>
          <w:szCs w:val="22"/>
          <w:lang w:val="en-US" w:eastAsia="zh-CN" w:bidi="ar-SA"/>
        </w:rPr>
      </w:pPr>
      <w:r>
        <w:rPr>
          <w:rFonts w:hint="default" w:ascii="Times New Roman" w:hAnsi="Times New Roman" w:cs="Times New Roman"/>
          <w:b/>
          <w:bCs w:val="0"/>
          <w:sz w:val="20"/>
          <w:szCs w:val="22"/>
          <w:lang w:val="en-US" w:eastAsia="zh-CN" w:bidi="ar-SA"/>
        </w:rPr>
        <w:t xml:space="preserve">Proposal </w:t>
      </w:r>
      <w:r>
        <w:rPr>
          <w:rFonts w:hint="eastAsia" w:ascii="Times New Roman" w:hAnsi="Times New Roman" w:cs="Times New Roman"/>
          <w:b/>
          <w:bCs w:val="0"/>
          <w:sz w:val="20"/>
          <w:szCs w:val="22"/>
          <w:lang w:val="en-US" w:eastAsia="zh-CN" w:bidi="ar-SA"/>
        </w:rPr>
        <w:t>2</w:t>
      </w:r>
      <w:r>
        <w:rPr>
          <w:rFonts w:hint="default" w:ascii="Times New Roman" w:hAnsi="Times New Roman" w:cs="Times New Roman"/>
          <w:b/>
          <w:bCs w:val="0"/>
          <w:sz w:val="20"/>
          <w:szCs w:val="22"/>
          <w:lang w:val="en-US" w:eastAsia="zh-CN" w:bidi="ar-SA"/>
        </w:rPr>
        <w:t>: UE include</w:t>
      </w:r>
      <w:r>
        <w:rPr>
          <w:rFonts w:hint="eastAsia" w:cs="Times New Roman"/>
          <w:b/>
          <w:bCs w:val="0"/>
          <w:sz w:val="20"/>
          <w:szCs w:val="22"/>
          <w:lang w:val="en-US" w:eastAsia="zh-CN" w:bidi="ar-SA"/>
        </w:rPr>
        <w:t>s</w:t>
      </w:r>
      <w:r>
        <w:rPr>
          <w:rFonts w:hint="default" w:ascii="Times New Roman" w:hAnsi="Times New Roman" w:cs="Times New Roman"/>
          <w:b/>
          <w:bCs w:val="0"/>
          <w:sz w:val="20"/>
          <w:szCs w:val="22"/>
          <w:lang w:val="en-US" w:eastAsia="zh-CN" w:bidi="ar-SA"/>
        </w:rPr>
        <w:t xml:space="preserve"> RPLMN </w:t>
      </w:r>
      <w:r>
        <w:rPr>
          <w:rFonts w:hint="eastAsia" w:cs="Times New Roman"/>
          <w:b/>
          <w:bCs w:val="0"/>
          <w:sz w:val="20"/>
          <w:szCs w:val="22"/>
          <w:lang w:val="en-US" w:eastAsia="zh-CN" w:bidi="ar-SA"/>
        </w:rPr>
        <w:t xml:space="preserve">identity in QoE reports stored in AS layer </w:t>
      </w:r>
      <w:r>
        <w:rPr>
          <w:rFonts w:hint="default" w:ascii="Times New Roman" w:hAnsi="Times New Roman" w:cs="Times New Roman"/>
          <w:b/>
          <w:bCs w:val="0"/>
          <w:sz w:val="20"/>
          <w:szCs w:val="22"/>
          <w:lang w:val="en-US" w:eastAsia="zh-CN" w:bidi="ar-SA"/>
        </w:rPr>
        <w:t>when storing QoE reports</w:t>
      </w:r>
      <w:r>
        <w:rPr>
          <w:rFonts w:hint="eastAsia" w:cs="Times New Roman"/>
          <w:b/>
          <w:bCs w:val="0"/>
          <w:sz w:val="20"/>
          <w:szCs w:val="22"/>
          <w:lang w:val="en-US" w:eastAsia="zh-CN" w:bidi="ar-SA"/>
        </w:rPr>
        <w:t xml:space="preserve"> in non-connected states</w:t>
      </w:r>
      <w:r>
        <w:rPr>
          <w:rFonts w:hint="default" w:ascii="Times New Roman" w:hAnsi="Times New Roman" w:cs="Times New Roman"/>
          <w:b/>
          <w:bCs w:val="0"/>
          <w:sz w:val="20"/>
          <w:szCs w:val="22"/>
          <w:lang w:val="en-US" w:eastAsia="zh-CN" w:bidi="ar-SA"/>
        </w:rPr>
        <w:t>.</w:t>
      </w:r>
    </w:p>
    <w:p>
      <w:pPr>
        <w:pStyle w:val="2"/>
        <w:rPr>
          <w:rFonts w:hint="default"/>
          <w:lang w:val="en-US" w:eastAsia="zh-CN"/>
        </w:rPr>
      </w:pPr>
    </w:p>
    <w:p>
      <w:pPr>
        <w:pStyle w:val="4"/>
        <w:spacing w:line="360" w:lineRule="auto"/>
        <w:rPr>
          <w:rStyle w:val="29"/>
          <w:rFonts w:hint="eastAsia" w:ascii="Arial" w:hAnsi="Arial" w:eastAsia="宋体" w:cs="Arial"/>
          <w:b/>
          <w:bCs/>
          <w:color w:val="auto"/>
          <w:lang w:val="en-GB" w:eastAsia="zh-CN"/>
        </w:rPr>
      </w:pPr>
      <w:r>
        <w:rPr>
          <w:rStyle w:val="29"/>
          <w:rFonts w:hint="eastAsia" w:ascii="Arial" w:hAnsi="Arial" w:eastAsia="宋体" w:cs="Arial"/>
          <w:b/>
          <w:bCs/>
          <w:color w:val="auto"/>
          <w:lang w:val="en-US" w:eastAsia="zh-CN"/>
        </w:rPr>
        <w:t>Reporting of QoE Configurations</w:t>
      </w:r>
    </w:p>
    <w:p>
      <w:pPr>
        <w:bidi w:val="0"/>
        <w:jc w:val="both"/>
        <w:rPr>
          <w:rFonts w:hint="eastAsia" w:ascii="Times New Roman" w:hAnsi="Times New Roman" w:cs="Times New Roman"/>
          <w:bCs/>
          <w:lang w:val="en-US" w:eastAsia="zh-CN"/>
        </w:rPr>
      </w:pPr>
      <w:r>
        <w:rPr>
          <w:rFonts w:hint="eastAsia" w:ascii="Times New Roman" w:hAnsi="Times New Roman" w:cs="Times New Roman"/>
          <w:bCs/>
          <w:lang w:val="en-US" w:eastAsia="zh-CN"/>
        </w:rPr>
        <w:t>Based on RIL issue E003 in 5.3.3.4</w:t>
      </w:r>
      <w:r>
        <w:rPr>
          <w:rFonts w:hint="eastAsia" w:cs="Times New Roman"/>
          <w:bCs/>
          <w:lang w:val="en-US" w:eastAsia="zh-CN"/>
        </w:rPr>
        <w:t xml:space="preserve"> </w:t>
      </w:r>
      <w:r>
        <w:rPr>
          <w:rFonts w:hint="eastAsia" w:eastAsia="宋体"/>
          <w:highlight w:val="none"/>
          <w:lang w:val="en-US" w:eastAsia="zh-CN"/>
        </w:rPr>
        <w:t>[3]</w:t>
      </w:r>
      <w:r>
        <w:rPr>
          <w:rFonts w:hint="eastAsia" w:ascii="Times New Roman" w:hAnsi="Times New Roman" w:cs="Times New Roman"/>
          <w:bCs/>
          <w:lang w:val="en-US" w:eastAsia="zh-CN"/>
        </w:rPr>
        <w:t>, if a handover or RLF occurs after the UE has indicated that it has QoE configurations/reports stored but before the UE has transmitted the QoE configurations or reports when returning from RRC_IDLE, the network (the new gNB) will never know that the UE has QoE configurations/reports stored.</w:t>
      </w:r>
    </w:p>
    <w:p>
      <w:pPr>
        <w:bidi w:val="0"/>
        <w:jc w:val="both"/>
        <w:rPr>
          <w:rFonts w:hint="default" w:ascii="Times New Roman" w:hAnsi="Times New Roman" w:cs="Times New Roman"/>
          <w:bCs/>
          <w:lang w:val="en-US" w:eastAsia="zh-CN"/>
        </w:rPr>
      </w:pPr>
      <w:r>
        <w:rPr>
          <w:rFonts w:hint="eastAsia" w:cs="Times New Roman"/>
          <w:bCs/>
          <w:lang w:val="en-US" w:eastAsia="zh-CN"/>
        </w:rPr>
        <w:t xml:space="preserve">We tend to agree with the observation as mentioned by Ericsson, and the solution can be quite straightforward and simple, which is to allow UE to indicate </w:t>
      </w:r>
      <w:r>
        <w:t>measConfigReportAppLayerAvailable</w:t>
      </w:r>
      <w:r>
        <w:rPr>
          <w:rFonts w:hint="eastAsia" w:eastAsia="宋体"/>
          <w:lang w:val="en-US" w:eastAsia="zh-CN"/>
        </w:rPr>
        <w:t xml:space="preserve"> indication in RRCRestablishmentComplete and RRCReconfigurationComplete message after HO completion or after reestablish to a new cell . Based on such indication, the new gNB can set up the corresponding SRB to retrieve the stored configuration if any. </w:t>
      </w:r>
    </w:p>
    <w:p>
      <w:pPr>
        <w:bidi w:val="0"/>
        <w:jc w:val="both"/>
        <w:rPr>
          <w:rFonts w:hint="default"/>
          <w:lang w:val="en-US" w:eastAsia="zh-CN"/>
        </w:rPr>
      </w:pPr>
      <w:r>
        <w:rPr>
          <w:rFonts w:hint="eastAsia" w:ascii="Times New Roman" w:hAnsi="Times New Roman" w:cs="Times New Roman"/>
          <w:b/>
          <w:bCs w:val="0"/>
          <w:sz w:val="20"/>
          <w:szCs w:val="22"/>
          <w:lang w:val="en-US" w:eastAsia="zh-CN" w:bidi="ar-SA"/>
        </w:rPr>
        <w:t>Proposal 3:</w:t>
      </w:r>
      <w:r>
        <w:rPr>
          <w:rFonts w:hint="eastAsia" w:cs="Times New Roman"/>
          <w:b/>
          <w:bCs w:val="0"/>
          <w:sz w:val="20"/>
          <w:szCs w:val="22"/>
          <w:lang w:val="en-US" w:eastAsia="zh-CN" w:bidi="ar-SA"/>
        </w:rPr>
        <w:t xml:space="preserve"> Introduce </w:t>
      </w:r>
      <w:r>
        <w:rPr>
          <w:b/>
          <w:bCs w:val="0"/>
          <w:i/>
          <w:iCs/>
        </w:rPr>
        <w:t>measConfigReportAppLayerAvailable</w:t>
      </w:r>
      <w:r>
        <w:rPr>
          <w:rFonts w:hint="eastAsia" w:eastAsia="宋体"/>
          <w:b/>
          <w:bCs w:val="0"/>
          <w:lang w:val="en-US" w:eastAsia="zh-CN"/>
        </w:rPr>
        <w:t xml:space="preserve"> indication in </w:t>
      </w:r>
      <w:r>
        <w:rPr>
          <w:rFonts w:hint="eastAsia" w:eastAsia="宋体"/>
          <w:b/>
          <w:bCs w:val="0"/>
          <w:i/>
          <w:iCs/>
          <w:lang w:val="en-US" w:eastAsia="zh-CN"/>
        </w:rPr>
        <w:t>RRCReestablishmentComplete</w:t>
      </w:r>
      <w:r>
        <w:rPr>
          <w:rFonts w:hint="eastAsia" w:eastAsia="宋体"/>
          <w:b/>
          <w:bCs w:val="0"/>
          <w:lang w:val="en-US" w:eastAsia="zh-CN"/>
        </w:rPr>
        <w:t xml:space="preserve"> and </w:t>
      </w:r>
      <w:r>
        <w:rPr>
          <w:rFonts w:hint="eastAsia" w:eastAsia="宋体"/>
          <w:b/>
          <w:bCs w:val="0"/>
          <w:i/>
          <w:iCs/>
          <w:lang w:val="en-US" w:eastAsia="zh-CN"/>
        </w:rPr>
        <w:t>RRCReconfigurationComplete</w:t>
      </w:r>
      <w:r>
        <w:rPr>
          <w:rFonts w:hint="eastAsia" w:eastAsia="宋体"/>
          <w:b/>
          <w:bCs w:val="0"/>
          <w:lang w:val="en-US" w:eastAsia="zh-CN"/>
        </w:rPr>
        <w:t xml:space="preserve"> messages, to indicate that there are available QoE reports/configuration applicable for idle/inactive state in UE. </w:t>
      </w:r>
    </w:p>
    <w:p>
      <w:pPr>
        <w:pStyle w:val="4"/>
        <w:spacing w:line="360" w:lineRule="auto"/>
        <w:rPr>
          <w:rFonts w:hint="default"/>
          <w:lang w:val="en-US"/>
        </w:rPr>
      </w:pPr>
      <w:bookmarkStart w:id="4" w:name="_GoBack"/>
      <w:bookmarkEnd w:id="4"/>
      <w:r>
        <w:rPr>
          <w:rStyle w:val="29"/>
          <w:rFonts w:hint="eastAsia" w:ascii="Arial" w:hAnsi="Arial" w:eastAsia="宋体" w:cs="Arial"/>
          <w:b/>
          <w:bCs/>
          <w:color w:val="auto"/>
          <w:lang w:val="en-GB" w:eastAsia="zh-CN"/>
        </w:rPr>
        <w:t>LS on area scope for QoE measurements</w:t>
      </w:r>
    </w:p>
    <w:p>
      <w:pPr>
        <w:bidi w:val="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In a previous meeting, RAN2 inquired with SA4 and SA5 regarding the area scope filtering performed by the UE AS layer.</w:t>
      </w:r>
      <w:r>
        <w:rPr>
          <w:rFonts w:hint="eastAsia" w:ascii="Times New Roman" w:hAnsi="Times New Roman" w:cs="Times New Roman"/>
          <w:bCs/>
          <w:lang w:val="en-US" w:eastAsia="zh-CN"/>
        </w:rPr>
        <w:t xml:space="preserve"> </w:t>
      </w:r>
      <w:r>
        <w:rPr>
          <w:rFonts w:hint="default" w:ascii="Times New Roman" w:hAnsi="Times New Roman" w:cs="Times New Roman"/>
          <w:bCs/>
          <w:lang w:val="en-US" w:eastAsia="zh-CN"/>
        </w:rPr>
        <w:t xml:space="preserve">Based on SA4's reply LS, SA4 </w:t>
      </w:r>
      <w:r>
        <w:rPr>
          <w:rFonts w:hint="eastAsia" w:ascii="Times New Roman" w:hAnsi="Times New Roman" w:cs="Times New Roman"/>
          <w:bCs/>
          <w:lang w:val="en-US" w:eastAsia="zh-CN"/>
        </w:rPr>
        <w:t>think</w:t>
      </w:r>
      <w:r>
        <w:rPr>
          <w:rFonts w:hint="default" w:ascii="Times New Roman" w:hAnsi="Times New Roman" w:cs="Times New Roman"/>
          <w:bCs/>
          <w:lang w:val="en-US" w:eastAsia="zh-CN"/>
        </w:rPr>
        <w:t>s it is acceptable that the area scope filtering based on LocationFilter (e.g., polygon-based area scope and circle-based area scope) is not supported. The specific details are as follows: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numPr>
                <w:ilvl w:val="0"/>
                <w:numId w:val="0"/>
              </w:numPr>
              <w:ind w:leftChars="0"/>
              <w:rPr>
                <w:rFonts w:eastAsia="Times New Roman" w:cs="Times New Roman"/>
              </w:rPr>
            </w:pPr>
            <w:r>
              <w:rPr>
                <w:rFonts w:eastAsia="Times New Roman" w:cs="Times New Roman"/>
              </w:rPr>
              <w:t>1. Overall Description:</w:t>
            </w:r>
          </w:p>
          <w:p>
            <w:pPr>
              <w:adjustRightInd w:val="0"/>
              <w:snapToGrid w:val="0"/>
              <w:spacing w:before="100" w:beforeAutospacing="1" w:after="100" w:afterAutospacing="1" w:line="312" w:lineRule="auto"/>
              <w:rPr>
                <w:color w:val="000000"/>
              </w:rPr>
            </w:pPr>
            <w:r>
              <w:rPr>
                <w:rFonts w:hint="eastAsia"/>
                <w:lang w:eastAsia="zh-CN"/>
              </w:rPr>
              <w:t>S</w:t>
            </w:r>
            <w:r>
              <w:rPr>
                <w:lang w:eastAsia="zh-CN"/>
              </w:rPr>
              <w:t>A4 thanks RAN2 LS for informing the progress on area scope handling for QoE measurement for MBS (</w:t>
            </w:r>
            <w:r>
              <w:rPr>
                <w:color w:val="000000"/>
              </w:rPr>
              <w:t>R2-2311400/</w:t>
            </w:r>
            <w:r>
              <w:t xml:space="preserve"> </w:t>
            </w:r>
            <w:bookmarkStart w:id="0" w:name="_Hlk150280798"/>
            <w:r>
              <w:rPr>
                <w:color w:val="000000"/>
              </w:rPr>
              <w:t>S4-</w:t>
            </w:r>
            <w:bookmarkEnd w:id="0"/>
            <w:r>
              <w:rPr>
                <w:color w:val="000000"/>
              </w:rPr>
              <w:t>231613) and would like to provide the feedback on the area scope filtering by UE AS layer as following:</w:t>
            </w:r>
          </w:p>
          <w:p>
            <w:pPr>
              <w:adjustRightInd w:val="0"/>
              <w:snapToGrid w:val="0"/>
              <w:spacing w:before="100" w:beforeAutospacing="1" w:after="100" w:afterAutospacing="1" w:line="312" w:lineRule="auto"/>
              <w:rPr>
                <w:i/>
                <w:color w:val="000000"/>
              </w:rPr>
            </w:pPr>
            <w:r>
              <w:rPr>
                <w:rFonts w:ascii="Arial" w:hAnsi="Arial" w:cs="Arial"/>
                <w:b/>
                <w:i/>
              </w:rPr>
              <w:t>Question:</w:t>
            </w:r>
            <w:r>
              <w:rPr>
                <w:rFonts w:ascii="Arial" w:hAnsi="Arial" w:cs="Arial"/>
                <w:i/>
              </w:rPr>
              <w:t xml:space="preserve"> RAN2 would like to ask SA4 and SA5 whether it is acceptable that area scope based on LocationFilter (e.g., polygon-based area scope and circular-based area scope) is not supported for QoE measurement collection applicable to RRC IDLE/INACTIVE. </w:t>
            </w:r>
            <w:r>
              <w:rPr>
                <w:i/>
                <w:color w:val="000000"/>
              </w:rPr>
              <w:t xml:space="preserve"> </w:t>
            </w:r>
          </w:p>
          <w:p>
            <w:pPr>
              <w:pStyle w:val="19"/>
              <w:tabs>
                <w:tab w:val="clear" w:pos="4680"/>
                <w:tab w:val="clear" w:pos="9360"/>
              </w:tabs>
              <w:adjustRightInd w:val="0"/>
              <w:snapToGrid w:val="0"/>
              <w:spacing w:line="288" w:lineRule="auto"/>
              <w:rPr>
                <w:rFonts w:ascii="Arial" w:hAnsi="Arial" w:cs="Arial"/>
                <w:b/>
              </w:rPr>
            </w:pPr>
            <w:r>
              <w:rPr>
                <w:rFonts w:ascii="Arial" w:hAnsi="Arial" w:eastAsia="宋体" w:cs="Arial"/>
                <w:b/>
              </w:rPr>
              <w:t>Answer:</w:t>
            </w:r>
            <w:r>
              <w:rPr>
                <w:rFonts w:ascii="Arial" w:hAnsi="Arial" w:eastAsia="宋体" w:cs="Arial"/>
              </w:rPr>
              <w:t xml:space="preserve"> Yes, it is acceptable from SA4 perspective. </w:t>
            </w:r>
          </w:p>
          <w:p>
            <w:pPr>
              <w:pStyle w:val="3"/>
              <w:numPr>
                <w:ilvl w:val="0"/>
                <w:numId w:val="0"/>
              </w:numPr>
              <w:ind w:leftChars="0"/>
              <w:rPr>
                <w:rFonts w:eastAsia="Times New Roman" w:cs="Times New Roman"/>
              </w:rPr>
            </w:pPr>
            <w:r>
              <w:rPr>
                <w:rFonts w:eastAsia="Times New Roman" w:cs="Times New Roman"/>
              </w:rPr>
              <w:t>2. Actions:</w:t>
            </w:r>
          </w:p>
          <w:p>
            <w:pPr>
              <w:spacing w:after="120"/>
              <w:ind w:left="1985" w:hanging="1985"/>
              <w:rPr>
                <w:rFonts w:ascii="Arial" w:hAnsi="Arial" w:cs="Arial"/>
                <w:b/>
              </w:rPr>
            </w:pPr>
            <w:r>
              <w:rPr>
                <w:rFonts w:ascii="Arial" w:hAnsi="Arial" w:cs="Arial"/>
                <w:b/>
              </w:rPr>
              <w:t xml:space="preserve">To </w:t>
            </w:r>
            <w:r>
              <w:rPr>
                <w:rFonts w:ascii="Arial" w:hAnsi="Arial" w:cs="Arial"/>
                <w:b/>
                <w:color w:val="000000"/>
              </w:rPr>
              <w:t>RAN2</w:t>
            </w:r>
            <w:r>
              <w:rPr>
                <w:rFonts w:ascii="Arial" w:hAnsi="Arial" w:cs="Arial"/>
                <w:b/>
              </w:rPr>
              <w:t xml:space="preserve"> group.</w:t>
            </w:r>
          </w:p>
          <w:p>
            <w:pPr>
              <w:spacing w:after="120"/>
              <w:ind w:left="993" w:hanging="993"/>
              <w:rPr>
                <w:rFonts w:hint="eastAsia" w:ascii="PingFang-SC-Regular" w:hAnsi="PingFang-SC-Regular" w:eastAsia="宋体" w:cs="PingFang-SC-Regular"/>
                <w:i w:val="0"/>
                <w:caps w:val="0"/>
                <w:color w:val="05073B"/>
                <w:spacing w:val="0"/>
                <w:sz w:val="22"/>
                <w:szCs w:val="22"/>
                <w:vertAlign w:val="baseline"/>
                <w:lang w:eastAsia="zh-CN"/>
              </w:rPr>
            </w:pPr>
            <w:r>
              <w:rPr>
                <w:rFonts w:ascii="Arial" w:hAnsi="Arial" w:cs="Arial"/>
                <w:b/>
              </w:rPr>
              <w:t xml:space="preserve">ACTION: </w:t>
            </w:r>
            <w:r>
              <w:rPr>
                <w:rFonts w:ascii="Arial" w:hAnsi="Arial" w:cs="Arial"/>
                <w:b/>
              </w:rPr>
              <w:tab/>
            </w:r>
            <w:r>
              <w:rPr>
                <w:rFonts w:ascii="Arial" w:hAnsi="Arial" w:cs="Arial"/>
                <w:color w:val="000000"/>
              </w:rPr>
              <w:t>SA4 asks RAN2 group to take the above into account and provide feedback if any.</w:t>
            </w:r>
          </w:p>
        </w:tc>
      </w:tr>
    </w:tbl>
    <w:p>
      <w:pPr>
        <w:bidi w:val="0"/>
        <w:jc w:val="both"/>
        <w:rPr>
          <w:rFonts w:hint="eastAsia" w:cs="Times New Roman"/>
          <w:bCs/>
          <w:lang w:val="en-US" w:eastAsia="zh-CN"/>
        </w:rPr>
      </w:pPr>
    </w:p>
    <w:p>
      <w:pPr>
        <w:bidi w:val="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 xml:space="preserve">However, based on SA5's reply LS, SA5 </w:t>
      </w:r>
      <w:r>
        <w:rPr>
          <w:rFonts w:hint="eastAsia" w:ascii="Times New Roman" w:hAnsi="Times New Roman" w:cs="Times New Roman"/>
          <w:bCs/>
          <w:lang w:val="en-US" w:eastAsia="zh-CN"/>
        </w:rPr>
        <w:t>think</w:t>
      </w:r>
      <w:r>
        <w:rPr>
          <w:rFonts w:hint="default" w:ascii="Times New Roman" w:hAnsi="Times New Roman" w:cs="Times New Roman"/>
          <w:bCs/>
          <w:lang w:val="en-US" w:eastAsia="zh-CN"/>
        </w:rPr>
        <w:t>s that the consumer (e.g., an operator or a data analytics function) should ensure that the area specified in the LocationFilter, if provided, falls within the scope of the defined area scope.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numPr>
                <w:ilvl w:val="0"/>
                <w:numId w:val="0"/>
              </w:numPr>
              <w:ind w:leftChars="0"/>
            </w:pPr>
            <w:r>
              <w:t>1</w:t>
            </w:r>
            <w:r>
              <w:tab/>
            </w:r>
            <w:r>
              <w:t>Overall description</w:t>
            </w:r>
          </w:p>
          <w:p>
            <w:pPr>
              <w:rPr>
                <w:rStyle w:val="31"/>
              </w:rPr>
            </w:pPr>
            <w:r>
              <w:rPr>
                <w:rStyle w:val="31"/>
              </w:rPr>
              <w:t>SA5 thanks RAN2 for its LS on area scope for QoE measurements in document R2-2311400, with following question:</w:t>
            </w:r>
          </w:p>
          <w:p>
            <w:pPr>
              <w:numPr>
                <w:ilvl w:val="0"/>
                <w:numId w:val="9"/>
              </w:numPr>
              <w:rPr>
                <w:rStyle w:val="31"/>
              </w:rPr>
            </w:pPr>
            <w:r>
              <w:rPr>
                <w:rStyle w:val="31"/>
              </w:rPr>
              <w:t>“Therefore, RAN2 would like to ask SA4 and SA5 whether it is acceptable that area scope based on LocationFilter (e.g., polygon-based area scope and circular-based area scope) is not supported for QoE measurement collection applicable to RRC IDLE/INACTIVE.”</w:t>
            </w:r>
          </w:p>
          <w:p>
            <w:pPr>
              <w:rPr>
                <w:rStyle w:val="31"/>
              </w:rPr>
            </w:pPr>
            <w:r>
              <w:rPr>
                <w:rStyle w:val="31"/>
              </w:rPr>
              <w:t xml:space="preserve">SA5 </w:t>
            </w:r>
            <w:r>
              <w:rPr>
                <w:rStyle w:val="31"/>
                <w:rFonts w:hint="eastAsia"/>
              </w:rPr>
              <w:t xml:space="preserve">would like to </w:t>
            </w:r>
            <w:r>
              <w:rPr>
                <w:rStyle w:val="31"/>
              </w:rPr>
              <w:t>response</w:t>
            </w:r>
            <w:r>
              <w:rPr>
                <w:rStyle w:val="31"/>
                <w:rFonts w:hint="eastAsia"/>
              </w:rPr>
              <w:t xml:space="preserve"> </w:t>
            </w:r>
            <w:r>
              <w:rPr>
                <w:rStyle w:val="31"/>
              </w:rPr>
              <w:t xml:space="preserve">to the questions with </w:t>
            </w:r>
            <w:r>
              <w:rPr>
                <w:rStyle w:val="31"/>
                <w:rFonts w:hint="eastAsia"/>
              </w:rPr>
              <w:t>the following:</w:t>
            </w:r>
          </w:p>
          <w:p>
            <w:pPr>
              <w:numPr>
                <w:ilvl w:val="0"/>
                <w:numId w:val="10"/>
              </w:numPr>
              <w:rPr>
                <w:rStyle w:val="31"/>
              </w:rPr>
            </w:pPr>
            <w:r>
              <w:rPr>
                <w:rStyle w:val="31"/>
              </w:rPr>
              <w:t>From SA5 perspective, the consumer, (e.g., an operator or a data analytics function), shall make sure that the area in LocationFilter, (if it is provided), shall be within the scope of area scope.</w:t>
            </w:r>
          </w:p>
          <w:p>
            <w:pPr>
              <w:pStyle w:val="3"/>
              <w:numPr>
                <w:ilvl w:val="0"/>
                <w:numId w:val="0"/>
              </w:numPr>
              <w:ind w:leftChars="0"/>
            </w:pPr>
            <w:r>
              <w:t>2</w:t>
            </w:r>
            <w:r>
              <w:tab/>
            </w:r>
            <w:r>
              <w:t>Actions</w:t>
            </w:r>
          </w:p>
          <w:p>
            <w:pPr>
              <w:spacing w:after="120"/>
              <w:ind w:left="1985" w:hanging="1985"/>
              <w:rPr>
                <w:rFonts w:ascii="Arial" w:hAnsi="Arial" w:cs="Arial"/>
                <w:b/>
              </w:rPr>
            </w:pPr>
            <w:r>
              <w:rPr>
                <w:rFonts w:ascii="Arial" w:hAnsi="Arial" w:cs="Arial"/>
                <w:b/>
              </w:rPr>
              <w:t>To RAN2</w:t>
            </w:r>
          </w:p>
          <w:p>
            <w:pPr>
              <w:spacing w:after="120"/>
              <w:ind w:left="993" w:hanging="993"/>
              <w:rPr>
                <w:rFonts w:ascii="Arial" w:hAnsi="Arial" w:cs="Arial"/>
              </w:rPr>
            </w:pPr>
            <w:r>
              <w:rPr>
                <w:rFonts w:ascii="Arial" w:hAnsi="Arial" w:cs="Arial"/>
                <w:b/>
              </w:rPr>
              <w:t xml:space="preserve">ACTION: </w:t>
            </w:r>
            <w:r>
              <w:rPr>
                <w:rFonts w:ascii="Arial" w:hAnsi="Arial" w:cs="Arial"/>
                <w:b/>
              </w:rPr>
              <w:tab/>
            </w:r>
            <w:r>
              <w:t>SA5 kindly asks RAN2 to take the above progress into account and provide feedback if necessary</w:t>
            </w:r>
          </w:p>
          <w:p>
            <w:pPr>
              <w:pStyle w:val="2"/>
              <w:rPr>
                <w:rFonts w:hint="eastAsia"/>
                <w:vertAlign w:val="baseline"/>
                <w:lang w:val="en-US" w:eastAsia="zh-CN"/>
              </w:rPr>
            </w:pPr>
          </w:p>
        </w:tc>
      </w:tr>
    </w:tbl>
    <w:p>
      <w:pPr>
        <w:pStyle w:val="2"/>
        <w:rPr>
          <w:rFonts w:hint="eastAsia"/>
          <w:lang w:val="en-US" w:eastAsia="zh-CN"/>
        </w:rPr>
      </w:pPr>
    </w:p>
    <w:p>
      <w:pPr>
        <w:bidi w:val="0"/>
        <w:jc w:val="both"/>
        <w:rPr>
          <w:rFonts w:hint="default" w:ascii="Times New Roman" w:hAnsi="Times New Roman" w:cs="Times New Roman"/>
          <w:bCs/>
          <w:lang w:val="en-US" w:eastAsia="zh-CN"/>
        </w:rPr>
      </w:pPr>
      <w:r>
        <w:rPr>
          <w:rFonts w:hint="default" w:ascii="Times New Roman" w:hAnsi="Times New Roman" w:cs="Times New Roman"/>
          <w:bCs/>
          <w:lang w:val="en-US" w:eastAsia="zh-CN"/>
        </w:rPr>
        <w:t xml:space="preserve">Based on the above LS, we can see that SA4 is acceptable with the situation, while SA5 believes that the "LocationFilter" should be within the defined area scope. Although we do not have a strong opinion on the above issue, considering the limited time, we </w:t>
      </w:r>
      <w:r>
        <w:rPr>
          <w:rFonts w:hint="eastAsia" w:ascii="Times New Roman" w:hAnsi="Times New Roman" w:cs="Times New Roman"/>
          <w:bCs/>
          <w:lang w:val="en-US" w:eastAsia="zh-CN"/>
        </w:rPr>
        <w:t>suggest</w:t>
      </w:r>
      <w:r>
        <w:rPr>
          <w:rFonts w:hint="default" w:ascii="Times New Roman" w:hAnsi="Times New Roman" w:cs="Times New Roman"/>
          <w:bCs/>
          <w:lang w:val="en-US" w:eastAsia="zh-CN"/>
        </w:rPr>
        <w:t xml:space="preserve"> that the area scope based on LocationFilter</w:t>
      </w:r>
      <w:r>
        <w:rPr>
          <w:rFonts w:hint="eastAsia" w:ascii="Times New Roman" w:hAnsi="Times New Roman" w:cs="Times New Roman"/>
          <w:bCs/>
          <w:lang w:val="en-US" w:eastAsia="zh-CN"/>
        </w:rPr>
        <w:t xml:space="preserve"> </w:t>
      </w:r>
      <w:r>
        <w:rPr>
          <w:rFonts w:hint="default" w:ascii="Times New Roman" w:hAnsi="Times New Roman" w:cs="Times New Roman"/>
          <w:bCs/>
          <w:lang w:val="en-US" w:eastAsia="zh-CN"/>
        </w:rPr>
        <w:t>(e.g., polygon-based area scope and circular-based area scope) is not supported for QoE measurement collection applicable to RRC IDLE/INACTIVE.</w:t>
      </w:r>
    </w:p>
    <w:p>
      <w:pPr>
        <w:rPr>
          <w:rFonts w:hint="default" w:ascii="Times New Roman" w:hAnsi="Times New Roman" w:cs="Times New Roman"/>
          <w:b/>
          <w:bCs w:val="0"/>
          <w:lang w:val="en-US" w:eastAsia="zh-CN"/>
        </w:rPr>
      </w:pPr>
      <w:r>
        <w:rPr>
          <w:rFonts w:hint="eastAsia" w:ascii="Times New Roman" w:hAnsi="Times New Roman" w:cs="Times New Roman"/>
          <w:b/>
          <w:bCs w:val="0"/>
          <w:lang w:val="en-US" w:eastAsia="zh-CN"/>
        </w:rPr>
        <w:t xml:space="preserve">Proposal 4: </w:t>
      </w:r>
      <w:r>
        <w:rPr>
          <w:rFonts w:hint="default" w:ascii="Times New Roman" w:hAnsi="Times New Roman" w:cs="Times New Roman"/>
          <w:b/>
          <w:bCs w:val="0"/>
          <w:lang w:val="en-US" w:eastAsia="zh-CN"/>
        </w:rPr>
        <w:t xml:space="preserve"> polygon-based area scope and circular-based area scope</w:t>
      </w:r>
      <w:r>
        <w:rPr>
          <w:rFonts w:hint="eastAsia" w:ascii="Times New Roman" w:hAnsi="Times New Roman" w:cs="Times New Roman"/>
          <w:b/>
          <w:bCs w:val="0"/>
          <w:lang w:val="en-US" w:eastAsia="zh-CN"/>
        </w:rPr>
        <w:t xml:space="preserve"> is not supported in </w:t>
      </w:r>
      <w:r>
        <w:rPr>
          <w:rFonts w:hint="default" w:ascii="Times New Roman" w:hAnsi="Times New Roman" w:cs="Times New Roman"/>
          <w:b/>
          <w:bCs w:val="0"/>
          <w:lang w:val="en-US" w:eastAsia="zh-CN"/>
        </w:rPr>
        <w:t>LocationFilter</w:t>
      </w:r>
      <w:r>
        <w:rPr>
          <w:rFonts w:hint="eastAsia" w:ascii="Times New Roman" w:hAnsi="Times New Roman" w:cs="Times New Roman"/>
          <w:b/>
          <w:bCs w:val="0"/>
          <w:lang w:val="en-US" w:eastAsia="zh-CN"/>
        </w:rPr>
        <w:t xml:space="preserve"> of </w:t>
      </w:r>
      <w:r>
        <w:rPr>
          <w:rFonts w:hint="default" w:ascii="Times New Roman" w:hAnsi="Times New Roman" w:cs="Times New Roman"/>
          <w:b/>
          <w:bCs w:val="0"/>
          <w:lang w:val="en-US" w:eastAsia="zh-CN"/>
        </w:rPr>
        <w:t>QoE measurement collection applicable to RRC IDLE/INACTIVE.</w:t>
      </w:r>
    </w:p>
    <w:p>
      <w:pPr>
        <w:spacing w:before="120" w:after="120" w:line="260" w:lineRule="auto"/>
        <w:jc w:val="both"/>
        <w:rPr>
          <w:rFonts w:hint="eastAsia" w:eastAsia="宋体"/>
          <w:b/>
          <w:bCs/>
          <w:strike w:val="0"/>
          <w:dstrike w:val="0"/>
          <w:lang w:val="en-US" w:eastAsia="zh-CN"/>
        </w:rPr>
      </w:pPr>
    </w:p>
    <w:p>
      <w:pPr>
        <w:pStyle w:val="3"/>
        <w:rPr>
          <w:rFonts w:cs="Arial"/>
          <w:b/>
          <w:lang w:val="en-US"/>
        </w:rPr>
      </w:pPr>
      <w:bookmarkStart w:id="1" w:name="_Hlk83889356"/>
      <w:bookmarkStart w:id="2" w:name="_Hlk83889312"/>
      <w:r>
        <w:rPr>
          <w:rFonts w:cs="Arial"/>
          <w:b/>
          <w:lang w:val="en-US"/>
        </w:rPr>
        <w:t>Conclusion</w:t>
      </w:r>
    </w:p>
    <w:bookmarkEnd w:id="1"/>
    <w:p>
      <w:pPr>
        <w:pStyle w:val="2"/>
        <w:rPr>
          <w:rFonts w:ascii="Times New Roman" w:hAnsi="Times New Roman" w:cs="Times New Roman"/>
        </w:rPr>
      </w:pPr>
      <w:r>
        <w:rPr>
          <w:rFonts w:ascii="Times New Roman" w:hAnsi="Times New Roman" w:cs="Times New Roman"/>
        </w:rPr>
        <w:t xml:space="preserve">In </w:t>
      </w:r>
      <w:bookmarkStart w:id="3" w:name="_Hlk83889481"/>
      <w:r>
        <w:rPr>
          <w:rFonts w:ascii="Times New Roman" w:hAnsi="Times New Roman" w:cs="Times New Roman"/>
        </w:rPr>
        <w:t xml:space="preserve">the above sections, the following observations and proposals were made: </w:t>
      </w:r>
    </w:p>
    <w:p>
      <w:pPr>
        <w:bidi w:val="0"/>
        <w:jc w:val="both"/>
        <w:rPr>
          <w:rFonts w:hint="default" w:ascii="Times New Roman" w:hAnsi="Times New Roman" w:cs="Times New Roman"/>
          <w:b/>
          <w:bCs w:val="0"/>
          <w:sz w:val="20"/>
          <w:szCs w:val="22"/>
          <w:lang w:val="en-US" w:eastAsia="zh-CN" w:bidi="ar-SA"/>
        </w:rPr>
      </w:pPr>
      <w:r>
        <w:rPr>
          <w:rFonts w:hint="default" w:ascii="Times New Roman" w:hAnsi="Times New Roman" w:cs="Times New Roman"/>
          <w:b/>
          <w:bCs w:val="0"/>
          <w:sz w:val="20"/>
          <w:szCs w:val="22"/>
          <w:lang w:val="en-US" w:eastAsia="zh-CN" w:bidi="ar-SA"/>
        </w:rPr>
        <w:t xml:space="preserve">Observation 1: </w:t>
      </w:r>
      <w:r>
        <w:rPr>
          <w:rFonts w:hint="eastAsia" w:ascii="Times New Roman" w:hAnsi="Times New Roman" w:cs="Times New Roman"/>
          <w:b/>
          <w:bCs w:val="0"/>
          <w:sz w:val="20"/>
          <w:szCs w:val="22"/>
          <w:lang w:val="en-US" w:eastAsia="zh-CN" w:bidi="ar-SA"/>
        </w:rPr>
        <w:t>When a QoE measurement is ongoing in the non-connected state and the UE initiates a PLMN reselection, it implies that the RPLMN may potentially change.</w:t>
      </w:r>
    </w:p>
    <w:p>
      <w:pPr>
        <w:rPr>
          <w:rFonts w:hint="eastAsia" w:cs="Times New Roman"/>
          <w:b/>
          <w:bCs w:val="0"/>
          <w:lang w:val="en-US" w:eastAsia="zh-CN"/>
        </w:rPr>
      </w:pPr>
      <w:r>
        <w:rPr>
          <w:rFonts w:hint="eastAsia" w:ascii="Times New Roman" w:hAnsi="Times New Roman" w:cs="Times New Roman"/>
          <w:b/>
          <w:bCs w:val="0"/>
          <w:lang w:val="en-US" w:eastAsia="zh-CN"/>
        </w:rPr>
        <w:t>Proposal 1:</w:t>
      </w:r>
      <w:r>
        <w:rPr>
          <w:rFonts w:hint="default" w:ascii="Times New Roman" w:hAnsi="Times New Roman" w:cs="Times New Roman"/>
          <w:b/>
          <w:bCs w:val="0"/>
          <w:lang w:val="en-US" w:eastAsia="zh-CN"/>
        </w:rPr>
        <w:t xml:space="preserve"> </w:t>
      </w:r>
      <w:r>
        <w:rPr>
          <w:rFonts w:hint="eastAsia" w:cs="Times New Roman"/>
          <w:b/>
          <w:bCs w:val="0"/>
          <w:lang w:val="en-US" w:eastAsia="zh-CN"/>
        </w:rPr>
        <w:t>UE (re)s</w:t>
      </w:r>
      <w:r>
        <w:rPr>
          <w:rFonts w:hint="default" w:ascii="Times New Roman" w:hAnsi="Times New Roman" w:cs="Times New Roman"/>
          <w:b/>
          <w:bCs w:val="0"/>
          <w:lang w:val="en-US" w:eastAsia="zh-CN"/>
        </w:rPr>
        <w:t>tart</w:t>
      </w:r>
      <w:r>
        <w:rPr>
          <w:rFonts w:hint="eastAsia" w:cs="Times New Roman"/>
          <w:b/>
          <w:bCs w:val="0"/>
          <w:lang w:val="en-US" w:eastAsia="zh-CN"/>
        </w:rPr>
        <w:t>s</w:t>
      </w:r>
      <w:r>
        <w:rPr>
          <w:rFonts w:hint="default" w:ascii="Times New Roman" w:hAnsi="Times New Roman" w:cs="Times New Roman"/>
          <w:b/>
          <w:bCs w:val="0"/>
          <w:lang w:val="en-US" w:eastAsia="zh-CN"/>
        </w:rPr>
        <w:t xml:space="preserve"> </w:t>
      </w:r>
      <w:r>
        <w:rPr>
          <w:rFonts w:hint="eastAsia" w:cs="Times New Roman"/>
          <w:b/>
          <w:bCs w:val="0"/>
          <w:lang w:val="en-US" w:eastAsia="zh-CN"/>
        </w:rPr>
        <w:t>counting</w:t>
      </w:r>
      <w:r>
        <w:rPr>
          <w:rFonts w:hint="default" w:ascii="Times New Roman" w:hAnsi="Times New Roman" w:cs="Times New Roman"/>
          <w:b/>
          <w:bCs w:val="0"/>
          <w:lang w:val="en-US" w:eastAsia="zh-CN"/>
        </w:rPr>
        <w:t xml:space="preserve"> 48-hour </w:t>
      </w:r>
      <w:r>
        <w:rPr>
          <w:rFonts w:hint="eastAsia" w:cs="Times New Roman"/>
          <w:b/>
          <w:bCs w:val="0"/>
          <w:lang w:val="en-US" w:eastAsia="zh-CN"/>
        </w:rPr>
        <w:t>duration</w:t>
      </w:r>
      <w:r>
        <w:rPr>
          <w:rFonts w:hint="default" w:ascii="Times New Roman" w:hAnsi="Times New Roman" w:cs="Times New Roman"/>
          <w:b/>
          <w:bCs w:val="0"/>
          <w:lang w:val="en-US" w:eastAsia="zh-CN"/>
        </w:rPr>
        <w:t xml:space="preserve"> </w:t>
      </w:r>
      <w:r>
        <w:rPr>
          <w:rFonts w:hint="eastAsia" w:cs="Times New Roman"/>
          <w:b/>
          <w:bCs w:val="0"/>
          <w:lang w:val="en-US" w:eastAsia="zh-CN"/>
        </w:rPr>
        <w:t>when</w:t>
      </w:r>
      <w:r>
        <w:rPr>
          <w:rFonts w:hint="default" w:ascii="Times New Roman" w:hAnsi="Times New Roman" w:cs="Times New Roman"/>
          <w:b/>
          <w:bCs w:val="0"/>
          <w:lang w:val="en-US" w:eastAsia="zh-CN"/>
        </w:rPr>
        <w:t xml:space="preserve"> the corresponding QoE measurement stops</w:t>
      </w:r>
      <w:r>
        <w:rPr>
          <w:rFonts w:hint="eastAsia" w:cs="Times New Roman"/>
          <w:b/>
          <w:bCs w:val="0"/>
          <w:lang w:val="en-US" w:eastAsia="zh-CN"/>
        </w:rPr>
        <w:t>, and reset the counting when QoE measurement resumes.</w:t>
      </w:r>
    </w:p>
    <w:p>
      <w:pPr>
        <w:bidi w:val="0"/>
        <w:jc w:val="both"/>
        <w:rPr>
          <w:rFonts w:hint="default" w:ascii="Times New Roman" w:hAnsi="Times New Roman" w:cs="Times New Roman"/>
          <w:b/>
          <w:bCs w:val="0"/>
          <w:sz w:val="20"/>
          <w:szCs w:val="22"/>
          <w:lang w:val="en-US" w:eastAsia="zh-CN" w:bidi="ar-SA"/>
        </w:rPr>
      </w:pPr>
      <w:r>
        <w:rPr>
          <w:rFonts w:hint="default" w:ascii="Times New Roman" w:hAnsi="Times New Roman" w:cs="Times New Roman"/>
          <w:b/>
          <w:bCs w:val="0"/>
          <w:sz w:val="20"/>
          <w:szCs w:val="22"/>
          <w:lang w:val="en-US" w:eastAsia="zh-CN" w:bidi="ar-SA"/>
        </w:rPr>
        <w:t xml:space="preserve">Proposal </w:t>
      </w:r>
      <w:r>
        <w:rPr>
          <w:rFonts w:hint="eastAsia" w:ascii="Times New Roman" w:hAnsi="Times New Roman" w:cs="Times New Roman"/>
          <w:b/>
          <w:bCs w:val="0"/>
          <w:sz w:val="20"/>
          <w:szCs w:val="22"/>
          <w:lang w:val="en-US" w:eastAsia="zh-CN" w:bidi="ar-SA"/>
        </w:rPr>
        <w:t>2</w:t>
      </w:r>
      <w:r>
        <w:rPr>
          <w:rFonts w:hint="default" w:ascii="Times New Roman" w:hAnsi="Times New Roman" w:cs="Times New Roman"/>
          <w:b/>
          <w:bCs w:val="0"/>
          <w:sz w:val="20"/>
          <w:szCs w:val="22"/>
          <w:lang w:val="en-US" w:eastAsia="zh-CN" w:bidi="ar-SA"/>
        </w:rPr>
        <w:t>: UE include</w:t>
      </w:r>
      <w:r>
        <w:rPr>
          <w:rFonts w:hint="eastAsia" w:cs="Times New Roman"/>
          <w:b/>
          <w:bCs w:val="0"/>
          <w:sz w:val="20"/>
          <w:szCs w:val="22"/>
          <w:lang w:val="en-US" w:eastAsia="zh-CN" w:bidi="ar-SA"/>
        </w:rPr>
        <w:t>s</w:t>
      </w:r>
      <w:r>
        <w:rPr>
          <w:rFonts w:hint="default" w:ascii="Times New Roman" w:hAnsi="Times New Roman" w:cs="Times New Roman"/>
          <w:b/>
          <w:bCs w:val="0"/>
          <w:sz w:val="20"/>
          <w:szCs w:val="22"/>
          <w:lang w:val="en-US" w:eastAsia="zh-CN" w:bidi="ar-SA"/>
        </w:rPr>
        <w:t xml:space="preserve"> RPLMN </w:t>
      </w:r>
      <w:r>
        <w:rPr>
          <w:rFonts w:hint="eastAsia" w:cs="Times New Roman"/>
          <w:b/>
          <w:bCs w:val="0"/>
          <w:sz w:val="20"/>
          <w:szCs w:val="22"/>
          <w:lang w:val="en-US" w:eastAsia="zh-CN" w:bidi="ar-SA"/>
        </w:rPr>
        <w:t xml:space="preserve">identity in QoE reports stored in AS layer </w:t>
      </w:r>
      <w:r>
        <w:rPr>
          <w:rFonts w:hint="default" w:ascii="Times New Roman" w:hAnsi="Times New Roman" w:cs="Times New Roman"/>
          <w:b/>
          <w:bCs w:val="0"/>
          <w:sz w:val="20"/>
          <w:szCs w:val="22"/>
          <w:lang w:val="en-US" w:eastAsia="zh-CN" w:bidi="ar-SA"/>
        </w:rPr>
        <w:t>when storing QoE reports</w:t>
      </w:r>
      <w:r>
        <w:rPr>
          <w:rFonts w:hint="eastAsia" w:cs="Times New Roman"/>
          <w:b/>
          <w:bCs w:val="0"/>
          <w:sz w:val="20"/>
          <w:szCs w:val="22"/>
          <w:lang w:val="en-US" w:eastAsia="zh-CN" w:bidi="ar-SA"/>
        </w:rPr>
        <w:t xml:space="preserve"> in non-connected states</w:t>
      </w:r>
      <w:r>
        <w:rPr>
          <w:rFonts w:hint="default" w:ascii="Times New Roman" w:hAnsi="Times New Roman" w:cs="Times New Roman"/>
          <w:b/>
          <w:bCs w:val="0"/>
          <w:sz w:val="20"/>
          <w:szCs w:val="22"/>
          <w:lang w:val="en-US" w:eastAsia="zh-CN" w:bidi="ar-SA"/>
        </w:rPr>
        <w:t>.</w:t>
      </w:r>
    </w:p>
    <w:p>
      <w:pPr>
        <w:bidi w:val="0"/>
        <w:jc w:val="both"/>
        <w:rPr>
          <w:rFonts w:hint="default"/>
          <w:lang w:val="en-US" w:eastAsia="zh-CN"/>
        </w:rPr>
      </w:pPr>
      <w:r>
        <w:rPr>
          <w:rFonts w:hint="eastAsia" w:ascii="Times New Roman" w:hAnsi="Times New Roman" w:cs="Times New Roman"/>
          <w:b/>
          <w:bCs w:val="0"/>
          <w:sz w:val="20"/>
          <w:szCs w:val="22"/>
          <w:lang w:val="en-US" w:eastAsia="zh-CN" w:bidi="ar-SA"/>
        </w:rPr>
        <w:t>Proposal 3:</w:t>
      </w:r>
      <w:r>
        <w:rPr>
          <w:rFonts w:hint="eastAsia" w:cs="Times New Roman"/>
          <w:b/>
          <w:bCs w:val="0"/>
          <w:sz w:val="20"/>
          <w:szCs w:val="22"/>
          <w:lang w:val="en-US" w:eastAsia="zh-CN" w:bidi="ar-SA"/>
        </w:rPr>
        <w:t xml:space="preserve"> Introduce </w:t>
      </w:r>
      <w:r>
        <w:rPr>
          <w:b/>
          <w:bCs w:val="0"/>
          <w:i/>
          <w:iCs/>
        </w:rPr>
        <w:t>measConfigReportAppLayerAvailable</w:t>
      </w:r>
      <w:r>
        <w:rPr>
          <w:rFonts w:hint="eastAsia" w:eastAsia="宋体"/>
          <w:b/>
          <w:bCs w:val="0"/>
          <w:lang w:val="en-US" w:eastAsia="zh-CN"/>
        </w:rPr>
        <w:t xml:space="preserve"> indication in </w:t>
      </w:r>
      <w:r>
        <w:rPr>
          <w:rFonts w:hint="eastAsia" w:eastAsia="宋体"/>
          <w:b/>
          <w:bCs w:val="0"/>
          <w:i/>
          <w:iCs/>
          <w:lang w:val="en-US" w:eastAsia="zh-CN"/>
        </w:rPr>
        <w:t>RRCReestablishmentComplete</w:t>
      </w:r>
      <w:r>
        <w:rPr>
          <w:rFonts w:hint="eastAsia" w:eastAsia="宋体"/>
          <w:b/>
          <w:bCs w:val="0"/>
          <w:lang w:val="en-US" w:eastAsia="zh-CN"/>
        </w:rPr>
        <w:t xml:space="preserve"> and </w:t>
      </w:r>
      <w:r>
        <w:rPr>
          <w:rFonts w:hint="eastAsia" w:eastAsia="宋体"/>
          <w:b/>
          <w:bCs w:val="0"/>
          <w:i/>
          <w:iCs/>
          <w:lang w:val="en-US" w:eastAsia="zh-CN"/>
        </w:rPr>
        <w:t>RRCReconfigurationComplete</w:t>
      </w:r>
      <w:r>
        <w:rPr>
          <w:rFonts w:hint="eastAsia" w:eastAsia="宋体"/>
          <w:b/>
          <w:bCs w:val="0"/>
          <w:lang w:val="en-US" w:eastAsia="zh-CN"/>
        </w:rPr>
        <w:t xml:space="preserve"> messages, to indicate that there are available QoE reports/configuration applicable for idle/inactive state in UE. </w:t>
      </w:r>
    </w:p>
    <w:p>
      <w:pPr>
        <w:rPr>
          <w:rFonts w:hint="default" w:ascii="Times New Roman" w:hAnsi="Times New Roman" w:cs="Times New Roman"/>
          <w:b/>
          <w:bCs w:val="0"/>
          <w:lang w:val="en-US" w:eastAsia="zh-CN"/>
        </w:rPr>
      </w:pPr>
      <w:r>
        <w:rPr>
          <w:rFonts w:hint="eastAsia" w:ascii="Times New Roman" w:hAnsi="Times New Roman" w:cs="Times New Roman"/>
          <w:b/>
          <w:bCs w:val="0"/>
          <w:lang w:val="en-US" w:eastAsia="zh-CN"/>
        </w:rPr>
        <w:t xml:space="preserve">Proposal </w:t>
      </w:r>
      <w:r>
        <w:rPr>
          <w:rFonts w:hint="eastAsia" w:cs="Times New Roman"/>
          <w:b/>
          <w:bCs w:val="0"/>
          <w:lang w:val="en-US" w:eastAsia="zh-CN"/>
        </w:rPr>
        <w:t>4</w:t>
      </w:r>
      <w:r>
        <w:rPr>
          <w:rFonts w:hint="eastAsia" w:ascii="Times New Roman" w:hAnsi="Times New Roman" w:cs="Times New Roman"/>
          <w:b/>
          <w:bCs w:val="0"/>
          <w:lang w:val="en-US" w:eastAsia="zh-CN"/>
        </w:rPr>
        <w:t xml:space="preserve">: </w:t>
      </w:r>
      <w:r>
        <w:rPr>
          <w:rFonts w:hint="default" w:ascii="Times New Roman" w:hAnsi="Times New Roman" w:cs="Times New Roman"/>
          <w:b/>
          <w:bCs w:val="0"/>
          <w:lang w:val="en-US" w:eastAsia="zh-CN"/>
        </w:rPr>
        <w:t xml:space="preserve"> </w:t>
      </w:r>
      <w:r>
        <w:rPr>
          <w:rFonts w:hint="eastAsia" w:cs="Times New Roman"/>
          <w:b/>
          <w:bCs w:val="0"/>
          <w:lang w:val="en-US" w:eastAsia="zh-CN"/>
        </w:rPr>
        <w:t>P</w:t>
      </w:r>
      <w:r>
        <w:rPr>
          <w:rFonts w:hint="default" w:ascii="Times New Roman" w:hAnsi="Times New Roman" w:cs="Times New Roman"/>
          <w:b/>
          <w:bCs w:val="0"/>
          <w:lang w:val="en-US" w:eastAsia="zh-CN"/>
        </w:rPr>
        <w:t>olygon-based area scope and circular-based area scope</w:t>
      </w:r>
      <w:r>
        <w:rPr>
          <w:rFonts w:hint="eastAsia" w:ascii="Times New Roman" w:hAnsi="Times New Roman" w:cs="Times New Roman"/>
          <w:b/>
          <w:bCs w:val="0"/>
          <w:lang w:val="en-US" w:eastAsia="zh-CN"/>
        </w:rPr>
        <w:t xml:space="preserve"> is not supported in </w:t>
      </w:r>
      <w:r>
        <w:rPr>
          <w:rFonts w:hint="default" w:ascii="Times New Roman" w:hAnsi="Times New Roman" w:cs="Times New Roman"/>
          <w:b/>
          <w:bCs w:val="0"/>
          <w:lang w:val="en-US" w:eastAsia="zh-CN"/>
        </w:rPr>
        <w:t>LocationFilter</w:t>
      </w:r>
      <w:r>
        <w:rPr>
          <w:rFonts w:hint="eastAsia" w:ascii="Times New Roman" w:hAnsi="Times New Roman" w:cs="Times New Roman"/>
          <w:b/>
          <w:bCs w:val="0"/>
          <w:lang w:val="en-US" w:eastAsia="zh-CN"/>
        </w:rPr>
        <w:t xml:space="preserve"> of </w:t>
      </w:r>
      <w:r>
        <w:rPr>
          <w:rFonts w:hint="default" w:ascii="Times New Roman" w:hAnsi="Times New Roman" w:cs="Times New Roman"/>
          <w:b/>
          <w:bCs w:val="0"/>
          <w:lang w:val="en-US" w:eastAsia="zh-CN"/>
        </w:rPr>
        <w:t>QoE measurement collection applicable to RRC IDLE/INACTIVE.</w:t>
      </w:r>
    </w:p>
    <w:p>
      <w:r>
        <w:rPr>
          <w:rFonts w:cs="Arial"/>
          <w:b w:val="0"/>
          <w:bCs/>
        </w:rPr>
        <w:fldChar w:fldCharType="begin"/>
      </w:r>
      <w:r>
        <w:rPr>
          <w:rFonts w:cs="Arial"/>
          <w:b w:val="0"/>
          <w:bCs/>
        </w:rPr>
        <w:instrText xml:space="preserve"> TOC \n \h \z \t "Proposal" \c </w:instrText>
      </w:r>
      <w:r>
        <w:rPr>
          <w:rFonts w:cs="Arial"/>
          <w:b w:val="0"/>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2"/>
      <w:bookmarkEnd w:id="3"/>
      <w:r>
        <w:rPr>
          <w:rFonts w:ascii="Arial" w:hAnsi="Arial" w:eastAsia="Times New Roman" w:cs="Times New Roman"/>
          <w:sz w:val="36"/>
          <w:szCs w:val="20"/>
          <w:lang w:eastAsia="ja-JP"/>
        </w:rPr>
        <w:t>References</w:t>
      </w:r>
    </w:p>
    <w:p>
      <w:pPr>
        <w:pStyle w:val="51"/>
        <w:numPr>
          <w:ilvl w:val="0"/>
          <w:numId w:val="11"/>
        </w:numPr>
        <w:rPr>
          <w:rFonts w:hint="default" w:ascii="Times New Roman" w:hAnsi="Times New Roman" w:eastAsiaTheme="minorEastAsia" w:cstheme="minorBidi"/>
          <w:sz w:val="20"/>
          <w:szCs w:val="22"/>
          <w:lang w:val="en-US" w:eastAsia="zh-CN" w:bidi="ar-SA"/>
        </w:rPr>
      </w:pPr>
      <w:r>
        <w:rPr>
          <w:rFonts w:hint="eastAsia" w:eastAsia="宋体" w:cstheme="minorBidi"/>
          <w:sz w:val="20"/>
          <w:szCs w:val="22"/>
          <w:lang w:val="en-US" w:eastAsia="zh-CN" w:bidi="ar-SA"/>
        </w:rPr>
        <w:t>R2</w:t>
      </w:r>
      <w:r>
        <w:rPr>
          <w:rFonts w:hint="eastAsia" w:ascii="Times New Roman" w:hAnsi="Times New Roman" w:eastAsiaTheme="minorEastAsia" w:cstheme="minorBidi"/>
          <w:sz w:val="20"/>
          <w:szCs w:val="22"/>
          <w:lang w:val="en-GB" w:eastAsia="en-GB" w:bidi="ar-SA"/>
        </w:rPr>
        <w:t>-</w:t>
      </w:r>
      <w:r>
        <w:rPr>
          <w:rFonts w:hint="eastAsia" w:eastAsia="宋体" w:cstheme="minorBidi"/>
          <w:sz w:val="20"/>
          <w:szCs w:val="22"/>
          <w:lang w:val="en-US" w:eastAsia="zh-CN" w:bidi="ar-SA"/>
        </w:rPr>
        <w:t>2400087</w:t>
      </w:r>
      <w:r>
        <w:rPr>
          <w:rFonts w:hint="eastAsia" w:ascii="Times New Roman" w:hAnsi="Times New Roman" w:eastAsiaTheme="minorEastAsia" w:cstheme="minorBidi"/>
          <w:sz w:val="20"/>
          <w:szCs w:val="22"/>
          <w:lang w:val="en-US" w:eastAsia="zh-CN" w:bidi="ar-SA"/>
        </w:rPr>
        <w:t xml:space="preserve"> </w:t>
      </w:r>
      <w:r>
        <w:rPr>
          <w:bCs w:val="0"/>
        </w:rPr>
        <w:t xml:space="preserve">LS Reply on </w:t>
      </w:r>
      <w:r>
        <w:t>area scope for QoE measurements</w:t>
      </w:r>
    </w:p>
    <w:p>
      <w:pPr>
        <w:pStyle w:val="51"/>
        <w:numPr>
          <w:ilvl w:val="0"/>
          <w:numId w:val="11"/>
        </w:numPr>
        <w:rPr>
          <w:rFonts w:hint="default" w:ascii="Times New Roman" w:hAnsi="Times New Roman" w:eastAsiaTheme="minorEastAsia" w:cstheme="minorBidi"/>
          <w:sz w:val="20"/>
          <w:szCs w:val="22"/>
          <w:lang w:val="en-US" w:eastAsia="zh-CN" w:bidi="ar-SA"/>
        </w:rPr>
      </w:pPr>
      <w:r>
        <w:rPr>
          <w:rFonts w:hint="eastAsia" w:cstheme="minorBidi"/>
          <w:sz w:val="20"/>
          <w:szCs w:val="22"/>
          <w:lang w:val="en-US" w:eastAsia="zh-CN" w:bidi="ar-SA"/>
        </w:rPr>
        <w:t xml:space="preserve">R2-2400090 </w:t>
      </w:r>
      <w:r>
        <w:rPr>
          <w:rFonts w:ascii="Times New Roman" w:hAnsi="Times New Roman"/>
        </w:rPr>
        <w:t>Reply LS on area scope for QoE measurements</w:t>
      </w:r>
    </w:p>
    <w:p>
      <w:pPr>
        <w:pStyle w:val="51"/>
        <w:numPr>
          <w:ilvl w:val="0"/>
          <w:numId w:val="11"/>
        </w:numPr>
        <w:rPr>
          <w:rFonts w:hint="default" w:ascii="Times New Roman" w:hAnsi="Times New Roman" w:eastAsiaTheme="minorEastAsia" w:cstheme="minorBidi"/>
          <w:sz w:val="20"/>
          <w:szCs w:val="22"/>
          <w:lang w:val="en-US" w:eastAsia="zh-CN" w:bidi="ar-SA"/>
        </w:rPr>
      </w:pPr>
      <w:r>
        <w:rPr>
          <w:rFonts w:hint="default" w:ascii="Times New Roman" w:hAnsi="Times New Roman" w:eastAsiaTheme="minorEastAsia" w:cstheme="minorBidi"/>
          <w:sz w:val="20"/>
          <w:szCs w:val="22"/>
          <w:lang w:val="en-US" w:eastAsia="zh-CN" w:bidi="ar-SA"/>
        </w:rPr>
        <w:t>38331 Rel18 ASN1 review v228</w:t>
      </w:r>
    </w:p>
    <w:p>
      <w:pPr>
        <w:pStyle w:val="51"/>
        <w:numPr>
          <w:ilvl w:val="0"/>
          <w:numId w:val="0"/>
        </w:numPr>
        <w:ind w:leftChars="0"/>
        <w:rPr>
          <w:rFonts w:cs="Arial"/>
          <w:color w:val="000000"/>
          <w:lang w:val="en-US"/>
        </w:rPr>
      </w:pPr>
    </w:p>
    <w:p>
      <w:pPr>
        <w:pStyle w:val="51"/>
        <w:numPr>
          <w:ilvl w:val="0"/>
          <w:numId w:val="0"/>
        </w:numPr>
        <w:spacing w:after="50" w:afterLines="50" w:line="312" w:lineRule="auto"/>
        <w:contextualSpacing/>
        <w:rPr>
          <w:rFonts w:cs="Arial"/>
          <w:color w:val="000000"/>
          <w:lang w:val="en-US"/>
        </w:rPr>
      </w:pPr>
    </w:p>
    <w:sectPr>
      <w:footerReference r:id="rId5" w:type="default"/>
      <w:footnotePr>
        <w:numRestart w:val="eachSect"/>
      </w:footnotePr>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PingFang-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820"/>
        <w:tab w:val="right" w:pos="9639"/>
      </w:tabs>
      <w:jc w:val="left"/>
    </w:pPr>
    <w:r>
      <w:tab/>
    </w:r>
    <w:r>
      <w:rPr>
        <w:rStyle w:val="29"/>
        <w:rFonts w:eastAsiaTheme="majorEastAsia"/>
      </w:rPr>
      <w:fldChar w:fldCharType="begin"/>
    </w:r>
    <w:r>
      <w:rPr>
        <w:rStyle w:val="29"/>
        <w:rFonts w:eastAsiaTheme="majorEastAsia"/>
      </w:rPr>
      <w:instrText xml:space="preserve"> PAGE </w:instrText>
    </w:r>
    <w:r>
      <w:rPr>
        <w:rStyle w:val="29"/>
        <w:rFonts w:eastAsiaTheme="majorEastAsia"/>
      </w:rPr>
      <w:fldChar w:fldCharType="separate"/>
    </w:r>
    <w:r>
      <w:rPr>
        <w:rStyle w:val="29"/>
        <w:rFonts w:eastAsiaTheme="majorEastAsia"/>
      </w:rPr>
      <w:t>4</w:t>
    </w:r>
    <w:r>
      <w:rPr>
        <w:rStyle w:val="29"/>
        <w:rFonts w:eastAsiaTheme="majorEastAsia"/>
      </w:rPr>
      <w:fldChar w:fldCharType="end"/>
    </w:r>
    <w:r>
      <w:rPr>
        <w:rStyle w:val="29"/>
        <w:rFonts w:eastAsiaTheme="majorEastAsia"/>
      </w:rPr>
      <w:t>/</w:t>
    </w:r>
    <w:r>
      <w:rPr>
        <w:rStyle w:val="29"/>
        <w:rFonts w:eastAsiaTheme="majorEastAsia"/>
      </w:rPr>
      <w:fldChar w:fldCharType="begin"/>
    </w:r>
    <w:r>
      <w:rPr>
        <w:rStyle w:val="29"/>
        <w:rFonts w:eastAsiaTheme="majorEastAsia"/>
      </w:rPr>
      <w:instrText xml:space="preserve"> NUMPAGES </w:instrText>
    </w:r>
    <w:r>
      <w:rPr>
        <w:rStyle w:val="29"/>
        <w:rFonts w:eastAsiaTheme="majorEastAsia"/>
      </w:rPr>
      <w:fldChar w:fldCharType="separate"/>
    </w:r>
    <w:r>
      <w:rPr>
        <w:rStyle w:val="29"/>
        <w:rFonts w:eastAsiaTheme="majorEastAsia"/>
      </w:rPr>
      <w:t>4</w:t>
    </w:r>
    <w:r>
      <w:rPr>
        <w:rStyle w:val="29"/>
        <w:rFonts w:eastAsiaTheme="majorEastAsia"/>
      </w:rPr>
      <w:fldChar w:fldCharType="end"/>
    </w:r>
    <w:r>
      <w:rPr>
        <w:rStyle w:val="29"/>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74"/>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1C371C83"/>
    <w:multiLevelType w:val="multilevel"/>
    <w:tmpl w:val="1C371C83"/>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rPr>
        <w:b/>
        <w:bCs/>
        <w:color w:val="auto"/>
      </w:r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4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1C67E9A"/>
    <w:multiLevelType w:val="multilevel"/>
    <w:tmpl w:val="41C67E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101505E"/>
    <w:multiLevelType w:val="multilevel"/>
    <w:tmpl w:val="5101505E"/>
    <w:lvl w:ilvl="0" w:tentative="0">
      <w:start w:val="1"/>
      <w:numFmt w:val="decimal"/>
      <w:pStyle w:val="4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EC24852"/>
    <w:multiLevelType w:val="multilevel"/>
    <w:tmpl w:val="6EC248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69"/>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3FD7FCE"/>
    <w:multiLevelType w:val="singleLevel"/>
    <w:tmpl w:val="73FD7FCE"/>
    <w:lvl w:ilvl="0" w:tentative="0">
      <w:start w:val="1"/>
      <w:numFmt w:val="bullet"/>
      <w:lvlText w:val=""/>
      <w:lvlJc w:val="left"/>
      <w:pPr>
        <w:ind w:left="420" w:hanging="420"/>
      </w:pPr>
      <w:rPr>
        <w:rFonts w:hint="default" w:ascii="Wingdings" w:hAnsi="Wingdings"/>
      </w:rPr>
    </w:lvl>
  </w:abstractNum>
  <w:num w:numId="1">
    <w:abstractNumId w:val="1"/>
  </w:num>
  <w:num w:numId="2">
    <w:abstractNumId w:val="9"/>
  </w:num>
  <w:num w:numId="3">
    <w:abstractNumId w:val="3"/>
  </w:num>
  <w:num w:numId="4">
    <w:abstractNumId w:val="6"/>
  </w:num>
  <w:num w:numId="5">
    <w:abstractNumId w:val="8"/>
  </w:num>
  <w:num w:numId="6">
    <w:abstractNumId w:val="0"/>
  </w:num>
  <w:num w:numId="7">
    <w:abstractNumId w:val="2"/>
  </w:num>
  <w:num w:numId="8">
    <w:abstractNumId w:val="10"/>
  </w:num>
  <w:num w:numId="9">
    <w:abstractNumId w:val="5"/>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41E3"/>
    <w:rsid w:val="00047285"/>
    <w:rsid w:val="00050F0B"/>
    <w:rsid w:val="00051A26"/>
    <w:rsid w:val="000521E1"/>
    <w:rsid w:val="00054359"/>
    <w:rsid w:val="00055158"/>
    <w:rsid w:val="00056E42"/>
    <w:rsid w:val="00060B2D"/>
    <w:rsid w:val="0006181C"/>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1751"/>
    <w:rsid w:val="000C3465"/>
    <w:rsid w:val="000C3A72"/>
    <w:rsid w:val="000C48D3"/>
    <w:rsid w:val="000C4BD0"/>
    <w:rsid w:val="000D1402"/>
    <w:rsid w:val="000D247C"/>
    <w:rsid w:val="000D29E8"/>
    <w:rsid w:val="000D2DBB"/>
    <w:rsid w:val="000D623A"/>
    <w:rsid w:val="000E0F92"/>
    <w:rsid w:val="000E2AD8"/>
    <w:rsid w:val="000E4C61"/>
    <w:rsid w:val="000E5B0D"/>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1DFC"/>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2AE"/>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485"/>
    <w:rsid w:val="00220B68"/>
    <w:rsid w:val="00223380"/>
    <w:rsid w:val="00224F0F"/>
    <w:rsid w:val="00226221"/>
    <w:rsid w:val="0023030B"/>
    <w:rsid w:val="002303AD"/>
    <w:rsid w:val="00230E6A"/>
    <w:rsid w:val="00231FCA"/>
    <w:rsid w:val="0023252C"/>
    <w:rsid w:val="002336D6"/>
    <w:rsid w:val="0023435E"/>
    <w:rsid w:val="00235256"/>
    <w:rsid w:val="002360A9"/>
    <w:rsid w:val="002362BC"/>
    <w:rsid w:val="002370DC"/>
    <w:rsid w:val="00237335"/>
    <w:rsid w:val="00240AB7"/>
    <w:rsid w:val="00240B4C"/>
    <w:rsid w:val="002418BA"/>
    <w:rsid w:val="00243D26"/>
    <w:rsid w:val="00244686"/>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9781C"/>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B7B6C"/>
    <w:rsid w:val="003C0720"/>
    <w:rsid w:val="003C2964"/>
    <w:rsid w:val="003C39AC"/>
    <w:rsid w:val="003C4E5D"/>
    <w:rsid w:val="003C54E0"/>
    <w:rsid w:val="003D0A07"/>
    <w:rsid w:val="003D0DB3"/>
    <w:rsid w:val="003D128E"/>
    <w:rsid w:val="003D3C82"/>
    <w:rsid w:val="003D7690"/>
    <w:rsid w:val="003D7ABE"/>
    <w:rsid w:val="003E103D"/>
    <w:rsid w:val="003E2114"/>
    <w:rsid w:val="003E3BD5"/>
    <w:rsid w:val="003E424F"/>
    <w:rsid w:val="003E6DA9"/>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4BE4"/>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0E33"/>
    <w:rsid w:val="004B16C8"/>
    <w:rsid w:val="004B2DF3"/>
    <w:rsid w:val="004B38D8"/>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560"/>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330"/>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ADF"/>
    <w:rsid w:val="005F5FAE"/>
    <w:rsid w:val="005F6032"/>
    <w:rsid w:val="005F74C9"/>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0AC"/>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05CB"/>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5318"/>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0D5"/>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134"/>
    <w:rsid w:val="009E4C75"/>
    <w:rsid w:val="009E57C4"/>
    <w:rsid w:val="009E6437"/>
    <w:rsid w:val="009E7AA6"/>
    <w:rsid w:val="009E7E17"/>
    <w:rsid w:val="009F104D"/>
    <w:rsid w:val="009F28E7"/>
    <w:rsid w:val="009F7236"/>
    <w:rsid w:val="00A01481"/>
    <w:rsid w:val="00A065F2"/>
    <w:rsid w:val="00A107B0"/>
    <w:rsid w:val="00A10F8F"/>
    <w:rsid w:val="00A17646"/>
    <w:rsid w:val="00A176F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73A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4CF"/>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4EDA"/>
    <w:rsid w:val="00B558EA"/>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DF7"/>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7C"/>
    <w:rsid w:val="00D95CC4"/>
    <w:rsid w:val="00D95F0A"/>
    <w:rsid w:val="00D974A2"/>
    <w:rsid w:val="00DA0D9F"/>
    <w:rsid w:val="00DA0E77"/>
    <w:rsid w:val="00DA2282"/>
    <w:rsid w:val="00DA3384"/>
    <w:rsid w:val="00DA3A81"/>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2FB7"/>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C29"/>
    <w:rsid w:val="00FB6E05"/>
    <w:rsid w:val="00FB7660"/>
    <w:rsid w:val="00FC0B26"/>
    <w:rsid w:val="00FC2B61"/>
    <w:rsid w:val="00FC334D"/>
    <w:rsid w:val="00FC3583"/>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257194A"/>
    <w:rsid w:val="06D0D49D"/>
    <w:rsid w:val="070A7848"/>
    <w:rsid w:val="08F46D8C"/>
    <w:rsid w:val="093045E6"/>
    <w:rsid w:val="09CD3F18"/>
    <w:rsid w:val="0B7E3AD5"/>
    <w:rsid w:val="0C2A1999"/>
    <w:rsid w:val="0E3E9496"/>
    <w:rsid w:val="0E5F9CB4"/>
    <w:rsid w:val="0EBB5564"/>
    <w:rsid w:val="0F0EE4C1"/>
    <w:rsid w:val="0FDA49B9"/>
    <w:rsid w:val="108A0AF6"/>
    <w:rsid w:val="10F43CFD"/>
    <w:rsid w:val="1108287E"/>
    <w:rsid w:val="113C5E72"/>
    <w:rsid w:val="121A43C3"/>
    <w:rsid w:val="12496A3B"/>
    <w:rsid w:val="14427FFA"/>
    <w:rsid w:val="14743F25"/>
    <w:rsid w:val="15A77CF7"/>
    <w:rsid w:val="15EFE608"/>
    <w:rsid w:val="164661D4"/>
    <w:rsid w:val="17E590F5"/>
    <w:rsid w:val="192669C6"/>
    <w:rsid w:val="1B6551EF"/>
    <w:rsid w:val="1BDA723D"/>
    <w:rsid w:val="1D954282"/>
    <w:rsid w:val="1DBBFDEA"/>
    <w:rsid w:val="1DFBF6E4"/>
    <w:rsid w:val="1E7B3F6A"/>
    <w:rsid w:val="1EB31ED6"/>
    <w:rsid w:val="1F4C11C0"/>
    <w:rsid w:val="1F992B81"/>
    <w:rsid w:val="1F9F1926"/>
    <w:rsid w:val="1FED5282"/>
    <w:rsid w:val="20716D7C"/>
    <w:rsid w:val="222479CB"/>
    <w:rsid w:val="23250908"/>
    <w:rsid w:val="23F32FE7"/>
    <w:rsid w:val="24BE5892"/>
    <w:rsid w:val="2558443D"/>
    <w:rsid w:val="267DB5BA"/>
    <w:rsid w:val="26882CCD"/>
    <w:rsid w:val="26F7BF4C"/>
    <w:rsid w:val="2715877B"/>
    <w:rsid w:val="27722F53"/>
    <w:rsid w:val="28031E6B"/>
    <w:rsid w:val="2847747F"/>
    <w:rsid w:val="2864691B"/>
    <w:rsid w:val="29785257"/>
    <w:rsid w:val="297DC4A8"/>
    <w:rsid w:val="29AC24BB"/>
    <w:rsid w:val="29AF14AB"/>
    <w:rsid w:val="29D98788"/>
    <w:rsid w:val="2CFFF187"/>
    <w:rsid w:val="2DDDDDA4"/>
    <w:rsid w:val="2DF54C51"/>
    <w:rsid w:val="2E081F67"/>
    <w:rsid w:val="2E220CF9"/>
    <w:rsid w:val="2E8944E5"/>
    <w:rsid w:val="2F02092C"/>
    <w:rsid w:val="2F8E5407"/>
    <w:rsid w:val="2FE8AECC"/>
    <w:rsid w:val="310F5CFB"/>
    <w:rsid w:val="315601A1"/>
    <w:rsid w:val="316A5656"/>
    <w:rsid w:val="31FE24B3"/>
    <w:rsid w:val="326A457D"/>
    <w:rsid w:val="34674028"/>
    <w:rsid w:val="34CB5AA3"/>
    <w:rsid w:val="359376F2"/>
    <w:rsid w:val="364C23D9"/>
    <w:rsid w:val="36EE39A5"/>
    <w:rsid w:val="37BDEF98"/>
    <w:rsid w:val="37F80854"/>
    <w:rsid w:val="37FD38C5"/>
    <w:rsid w:val="393A42A0"/>
    <w:rsid w:val="39F73F8B"/>
    <w:rsid w:val="39FD3F31"/>
    <w:rsid w:val="3A00635D"/>
    <w:rsid w:val="3A6D81E3"/>
    <w:rsid w:val="3AFB0BCE"/>
    <w:rsid w:val="3B8D62FE"/>
    <w:rsid w:val="3BA8616D"/>
    <w:rsid w:val="3BD6A29F"/>
    <w:rsid w:val="3BE3D02D"/>
    <w:rsid w:val="3BEFE39C"/>
    <w:rsid w:val="3BF7968A"/>
    <w:rsid w:val="3BFF0C49"/>
    <w:rsid w:val="3CE6587A"/>
    <w:rsid w:val="3D7ED7F0"/>
    <w:rsid w:val="3DFEF968"/>
    <w:rsid w:val="3E7D2252"/>
    <w:rsid w:val="3E985826"/>
    <w:rsid w:val="3F6203BF"/>
    <w:rsid w:val="3F8C0571"/>
    <w:rsid w:val="3FEFB111"/>
    <w:rsid w:val="3FF79F2F"/>
    <w:rsid w:val="3FFA43A6"/>
    <w:rsid w:val="3FFADB85"/>
    <w:rsid w:val="3FFD8422"/>
    <w:rsid w:val="3FFE3C4B"/>
    <w:rsid w:val="41315CDA"/>
    <w:rsid w:val="41320A77"/>
    <w:rsid w:val="4222032D"/>
    <w:rsid w:val="42812FC9"/>
    <w:rsid w:val="4281687A"/>
    <w:rsid w:val="430A4DB7"/>
    <w:rsid w:val="43227928"/>
    <w:rsid w:val="43AD3530"/>
    <w:rsid w:val="454D613D"/>
    <w:rsid w:val="456D246E"/>
    <w:rsid w:val="457B68DE"/>
    <w:rsid w:val="459F66FE"/>
    <w:rsid w:val="462420DE"/>
    <w:rsid w:val="465714EB"/>
    <w:rsid w:val="4693A455"/>
    <w:rsid w:val="49D1242C"/>
    <w:rsid w:val="4A165CFD"/>
    <w:rsid w:val="4BBE0A51"/>
    <w:rsid w:val="4D8D77FA"/>
    <w:rsid w:val="4DDA961B"/>
    <w:rsid w:val="4E9D1C91"/>
    <w:rsid w:val="4F282DE8"/>
    <w:rsid w:val="4FE26285"/>
    <w:rsid w:val="507E2EA2"/>
    <w:rsid w:val="53DBFC72"/>
    <w:rsid w:val="54140328"/>
    <w:rsid w:val="55CA1C9A"/>
    <w:rsid w:val="55FD291D"/>
    <w:rsid w:val="5689258D"/>
    <w:rsid w:val="56D54B65"/>
    <w:rsid w:val="56DD3CBA"/>
    <w:rsid w:val="570E7D91"/>
    <w:rsid w:val="5752678E"/>
    <w:rsid w:val="577FB786"/>
    <w:rsid w:val="57BBE4F1"/>
    <w:rsid w:val="57BF8B19"/>
    <w:rsid w:val="57F9F4C0"/>
    <w:rsid w:val="57FB091B"/>
    <w:rsid w:val="581E4929"/>
    <w:rsid w:val="58911ADC"/>
    <w:rsid w:val="58BB4F57"/>
    <w:rsid w:val="58F07D4A"/>
    <w:rsid w:val="59554A8B"/>
    <w:rsid w:val="5A359E58"/>
    <w:rsid w:val="5A49DD30"/>
    <w:rsid w:val="5A874152"/>
    <w:rsid w:val="5AFA5238"/>
    <w:rsid w:val="5B0F4579"/>
    <w:rsid w:val="5B47CE77"/>
    <w:rsid w:val="5BBF1214"/>
    <w:rsid w:val="5C76FB9F"/>
    <w:rsid w:val="5D7FB4A5"/>
    <w:rsid w:val="5DAD0CB3"/>
    <w:rsid w:val="5DD3F197"/>
    <w:rsid w:val="5DFFF705"/>
    <w:rsid w:val="5EAAE7DD"/>
    <w:rsid w:val="5EB79E98"/>
    <w:rsid w:val="5EBF2896"/>
    <w:rsid w:val="5EDDAE21"/>
    <w:rsid w:val="5EE6136B"/>
    <w:rsid w:val="5EE64B45"/>
    <w:rsid w:val="5F236657"/>
    <w:rsid w:val="5F329599"/>
    <w:rsid w:val="5F7D3DA1"/>
    <w:rsid w:val="5FCC1F43"/>
    <w:rsid w:val="5FCF8625"/>
    <w:rsid w:val="5FF1B8FF"/>
    <w:rsid w:val="5FFB03FF"/>
    <w:rsid w:val="5FFBFA15"/>
    <w:rsid w:val="60631AA6"/>
    <w:rsid w:val="60A80188"/>
    <w:rsid w:val="62FF9A58"/>
    <w:rsid w:val="640C0830"/>
    <w:rsid w:val="65275A3D"/>
    <w:rsid w:val="665D5D85"/>
    <w:rsid w:val="677D7344"/>
    <w:rsid w:val="67E56CE4"/>
    <w:rsid w:val="680943BE"/>
    <w:rsid w:val="6833684A"/>
    <w:rsid w:val="6843BC62"/>
    <w:rsid w:val="6888718C"/>
    <w:rsid w:val="691275D4"/>
    <w:rsid w:val="6962E34B"/>
    <w:rsid w:val="69E5BA5C"/>
    <w:rsid w:val="6AEC7E8E"/>
    <w:rsid w:val="6B0278D1"/>
    <w:rsid w:val="6B0279B7"/>
    <w:rsid w:val="6B3A0FE0"/>
    <w:rsid w:val="6BFFA8DC"/>
    <w:rsid w:val="6C286E44"/>
    <w:rsid w:val="6C76434F"/>
    <w:rsid w:val="6C7E470C"/>
    <w:rsid w:val="6CA8A0BD"/>
    <w:rsid w:val="6CF94B0A"/>
    <w:rsid w:val="6CFFE036"/>
    <w:rsid w:val="6D074150"/>
    <w:rsid w:val="6D310FFA"/>
    <w:rsid w:val="6D91C0B1"/>
    <w:rsid w:val="6DCB0614"/>
    <w:rsid w:val="6DFCCE14"/>
    <w:rsid w:val="6DFFD7E5"/>
    <w:rsid w:val="6E6F6473"/>
    <w:rsid w:val="6EBD79AA"/>
    <w:rsid w:val="6EDFE721"/>
    <w:rsid w:val="6F7FE3F0"/>
    <w:rsid w:val="6FAA1673"/>
    <w:rsid w:val="6FC7F1BE"/>
    <w:rsid w:val="6FFB6CC7"/>
    <w:rsid w:val="702E686B"/>
    <w:rsid w:val="7083738C"/>
    <w:rsid w:val="71B722E2"/>
    <w:rsid w:val="72106540"/>
    <w:rsid w:val="727428C1"/>
    <w:rsid w:val="737F5333"/>
    <w:rsid w:val="73FF9F8C"/>
    <w:rsid w:val="74AE3EB6"/>
    <w:rsid w:val="751F06A2"/>
    <w:rsid w:val="757BF952"/>
    <w:rsid w:val="76779D36"/>
    <w:rsid w:val="767F27D6"/>
    <w:rsid w:val="76F23963"/>
    <w:rsid w:val="76F43E69"/>
    <w:rsid w:val="772E1279"/>
    <w:rsid w:val="776FEFA2"/>
    <w:rsid w:val="77BF3201"/>
    <w:rsid w:val="77BF53A0"/>
    <w:rsid w:val="77E772BE"/>
    <w:rsid w:val="77EECA84"/>
    <w:rsid w:val="77EEDC28"/>
    <w:rsid w:val="77FDB893"/>
    <w:rsid w:val="77FDFFD7"/>
    <w:rsid w:val="784A55A1"/>
    <w:rsid w:val="792FD99C"/>
    <w:rsid w:val="794F7B9A"/>
    <w:rsid w:val="795A8502"/>
    <w:rsid w:val="79BF1862"/>
    <w:rsid w:val="79E13B9D"/>
    <w:rsid w:val="7A6E44C1"/>
    <w:rsid w:val="7AA3A95B"/>
    <w:rsid w:val="7AA9E0DC"/>
    <w:rsid w:val="7AD659AC"/>
    <w:rsid w:val="7AF7268C"/>
    <w:rsid w:val="7B4FD66E"/>
    <w:rsid w:val="7B737FE1"/>
    <w:rsid w:val="7B751B3D"/>
    <w:rsid w:val="7BDECBF8"/>
    <w:rsid w:val="7BF5E087"/>
    <w:rsid w:val="7BF66544"/>
    <w:rsid w:val="7BFBF581"/>
    <w:rsid w:val="7C4C127B"/>
    <w:rsid w:val="7CCFE6D9"/>
    <w:rsid w:val="7DB7BF42"/>
    <w:rsid w:val="7DBB01E5"/>
    <w:rsid w:val="7DBBD3E5"/>
    <w:rsid w:val="7DBFB04C"/>
    <w:rsid w:val="7DC61607"/>
    <w:rsid w:val="7DDCC68C"/>
    <w:rsid w:val="7E2EDA52"/>
    <w:rsid w:val="7E3C14D7"/>
    <w:rsid w:val="7E5D23F3"/>
    <w:rsid w:val="7E6FD489"/>
    <w:rsid w:val="7E7F0942"/>
    <w:rsid w:val="7E867D61"/>
    <w:rsid w:val="7EB31986"/>
    <w:rsid w:val="7EBF876E"/>
    <w:rsid w:val="7ECCADB2"/>
    <w:rsid w:val="7EEEEF79"/>
    <w:rsid w:val="7EF4F102"/>
    <w:rsid w:val="7EF62DE7"/>
    <w:rsid w:val="7EFE364B"/>
    <w:rsid w:val="7F6FC3DB"/>
    <w:rsid w:val="7F7D579B"/>
    <w:rsid w:val="7F7D7656"/>
    <w:rsid w:val="7F936196"/>
    <w:rsid w:val="7F992501"/>
    <w:rsid w:val="7FA2C79D"/>
    <w:rsid w:val="7FCEDAD1"/>
    <w:rsid w:val="7FDE9AA9"/>
    <w:rsid w:val="7FE3032F"/>
    <w:rsid w:val="7FEC6F91"/>
    <w:rsid w:val="7FFB8F88"/>
    <w:rsid w:val="7FFEAE88"/>
    <w:rsid w:val="7FFF21DF"/>
    <w:rsid w:val="7FFFB156"/>
    <w:rsid w:val="8CD7C74C"/>
    <w:rsid w:val="93FBE8FA"/>
    <w:rsid w:val="96FDCDAF"/>
    <w:rsid w:val="9BAE45FC"/>
    <w:rsid w:val="9BF1ED00"/>
    <w:rsid w:val="9D9C7665"/>
    <w:rsid w:val="9DCDF795"/>
    <w:rsid w:val="9EF63205"/>
    <w:rsid w:val="9F2D2837"/>
    <w:rsid w:val="A3BFF7F9"/>
    <w:rsid w:val="A3DE6C07"/>
    <w:rsid w:val="A75F8FA8"/>
    <w:rsid w:val="AA0FD8CC"/>
    <w:rsid w:val="AAD38468"/>
    <w:rsid w:val="ABEE53F4"/>
    <w:rsid w:val="AFB7929B"/>
    <w:rsid w:val="B57E36BC"/>
    <w:rsid w:val="B65A7AAE"/>
    <w:rsid w:val="B76D18A8"/>
    <w:rsid w:val="B7BF6BA9"/>
    <w:rsid w:val="BB6C1E6C"/>
    <w:rsid w:val="BBCB115D"/>
    <w:rsid w:val="BBFF51A0"/>
    <w:rsid w:val="BBFFD53F"/>
    <w:rsid w:val="BCF5EDDE"/>
    <w:rsid w:val="BDEF539A"/>
    <w:rsid w:val="BE326D9A"/>
    <w:rsid w:val="BE7E8A05"/>
    <w:rsid w:val="BEBFB4D1"/>
    <w:rsid w:val="BEBFBB19"/>
    <w:rsid w:val="BEE52EEF"/>
    <w:rsid w:val="BF3F4E4A"/>
    <w:rsid w:val="BFBCA0CF"/>
    <w:rsid w:val="BFCEF061"/>
    <w:rsid w:val="BFDF84EB"/>
    <w:rsid w:val="BFF76D42"/>
    <w:rsid w:val="BFF90683"/>
    <w:rsid w:val="BFFD580B"/>
    <w:rsid w:val="BFFD85AB"/>
    <w:rsid w:val="C7FF8FB4"/>
    <w:rsid w:val="C8FF51BA"/>
    <w:rsid w:val="CB91F186"/>
    <w:rsid w:val="CBFF8685"/>
    <w:rsid w:val="CD379A98"/>
    <w:rsid w:val="CF4714AE"/>
    <w:rsid w:val="D0E362F8"/>
    <w:rsid w:val="D37F4C68"/>
    <w:rsid w:val="D575FC31"/>
    <w:rsid w:val="D7E72850"/>
    <w:rsid w:val="D7F6DA9A"/>
    <w:rsid w:val="D9A77203"/>
    <w:rsid w:val="DBAFDE13"/>
    <w:rsid w:val="DBF91EB3"/>
    <w:rsid w:val="DDEC5EFC"/>
    <w:rsid w:val="DDFF1BDE"/>
    <w:rsid w:val="DE7570EF"/>
    <w:rsid w:val="DEEF00AE"/>
    <w:rsid w:val="DEFC8A9A"/>
    <w:rsid w:val="DFBBEE7D"/>
    <w:rsid w:val="DFED06EF"/>
    <w:rsid w:val="DFF767E4"/>
    <w:rsid w:val="DFFB426A"/>
    <w:rsid w:val="E3CC5927"/>
    <w:rsid w:val="E3FB5D18"/>
    <w:rsid w:val="E4BF6A47"/>
    <w:rsid w:val="E51FCB04"/>
    <w:rsid w:val="E73A82E5"/>
    <w:rsid w:val="E7B5069F"/>
    <w:rsid w:val="E7BF9663"/>
    <w:rsid w:val="E83D41F3"/>
    <w:rsid w:val="EAA56658"/>
    <w:rsid w:val="EAEABC4D"/>
    <w:rsid w:val="EBF78488"/>
    <w:rsid w:val="ECFD7437"/>
    <w:rsid w:val="ED5FB71C"/>
    <w:rsid w:val="EDE5184C"/>
    <w:rsid w:val="EDEB44B5"/>
    <w:rsid w:val="EDF77B78"/>
    <w:rsid w:val="EDFB9BCB"/>
    <w:rsid w:val="EEDF0059"/>
    <w:rsid w:val="EFB334B9"/>
    <w:rsid w:val="EFDF9584"/>
    <w:rsid w:val="EFEEB6A8"/>
    <w:rsid w:val="EFFF53D5"/>
    <w:rsid w:val="F1DB768E"/>
    <w:rsid w:val="F2FF8C5C"/>
    <w:rsid w:val="F35942BE"/>
    <w:rsid w:val="F3775739"/>
    <w:rsid w:val="F4FB32F0"/>
    <w:rsid w:val="F63F3C85"/>
    <w:rsid w:val="F6657418"/>
    <w:rsid w:val="F6B552BA"/>
    <w:rsid w:val="F6DB8102"/>
    <w:rsid w:val="F6FC273B"/>
    <w:rsid w:val="F79D2B10"/>
    <w:rsid w:val="F7DFDED5"/>
    <w:rsid w:val="F7EE441C"/>
    <w:rsid w:val="F7EE4F89"/>
    <w:rsid w:val="F7F7122C"/>
    <w:rsid w:val="F97FF8C1"/>
    <w:rsid w:val="F9B7C2FB"/>
    <w:rsid w:val="F9BFB2A1"/>
    <w:rsid w:val="F9FD58E4"/>
    <w:rsid w:val="FA7A92EA"/>
    <w:rsid w:val="FADD67B2"/>
    <w:rsid w:val="FAEF2310"/>
    <w:rsid w:val="FB4E9BD6"/>
    <w:rsid w:val="FB778446"/>
    <w:rsid w:val="FB7FAD4C"/>
    <w:rsid w:val="FB899782"/>
    <w:rsid w:val="FB997CC8"/>
    <w:rsid w:val="FBEFE8AE"/>
    <w:rsid w:val="FBF7563B"/>
    <w:rsid w:val="FBFAD513"/>
    <w:rsid w:val="FBFCBB6D"/>
    <w:rsid w:val="FBFD1345"/>
    <w:rsid w:val="FBFFA049"/>
    <w:rsid w:val="FC71C2BC"/>
    <w:rsid w:val="FCCECD9C"/>
    <w:rsid w:val="FCD82315"/>
    <w:rsid w:val="FCF704CC"/>
    <w:rsid w:val="FCFB4383"/>
    <w:rsid w:val="FD848E9E"/>
    <w:rsid w:val="FDABA8D4"/>
    <w:rsid w:val="FDAF1193"/>
    <w:rsid w:val="FDBFBDCE"/>
    <w:rsid w:val="FDDB4296"/>
    <w:rsid w:val="FDE71F62"/>
    <w:rsid w:val="FDFDF9B2"/>
    <w:rsid w:val="FDFF4BA5"/>
    <w:rsid w:val="FDFFA44C"/>
    <w:rsid w:val="FE7438B6"/>
    <w:rsid w:val="FEBEF8F8"/>
    <w:rsid w:val="FEBF34BD"/>
    <w:rsid w:val="FEFB2324"/>
    <w:rsid w:val="FEFE0680"/>
    <w:rsid w:val="FEFE7999"/>
    <w:rsid w:val="FEFFE844"/>
    <w:rsid w:val="FF1BB64B"/>
    <w:rsid w:val="FF4F1A6F"/>
    <w:rsid w:val="FF65430A"/>
    <w:rsid w:val="FF773F42"/>
    <w:rsid w:val="FF7FE392"/>
    <w:rsid w:val="FF973917"/>
    <w:rsid w:val="FFB52065"/>
    <w:rsid w:val="FFCC92C0"/>
    <w:rsid w:val="FFCF8EED"/>
    <w:rsid w:val="FFD722E0"/>
    <w:rsid w:val="FFDF607B"/>
    <w:rsid w:val="FFE5661B"/>
    <w:rsid w:val="FFEF958A"/>
    <w:rsid w:val="FFEFF07B"/>
    <w:rsid w:val="FFF4CF0C"/>
    <w:rsid w:val="FFF6159F"/>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50" w:afterLines="50" w:line="312" w:lineRule="auto"/>
    </w:pPr>
    <w:rPr>
      <w:rFonts w:ascii="Times New Roman" w:hAnsi="Times New Roman" w:eastAsiaTheme="minorEastAsia" w:cstheme="minorBidi"/>
      <w:sz w:val="20"/>
      <w:szCs w:val="22"/>
      <w:lang w:val="en-US" w:eastAsia="en-US" w:bidi="ar-SA"/>
    </w:rPr>
  </w:style>
  <w:style w:type="paragraph" w:styleId="3">
    <w:name w:val="heading 1"/>
    <w:next w:val="1"/>
    <w:link w:val="3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4">
    <w:name w:val="heading 2"/>
    <w:basedOn w:val="1"/>
    <w:next w:val="1"/>
    <w:link w:val="36"/>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5">
    <w:name w:val="heading 3"/>
    <w:basedOn w:val="1"/>
    <w:next w:val="1"/>
    <w:link w:val="37"/>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6">
    <w:name w:val="heading 4"/>
    <w:basedOn w:val="1"/>
    <w:next w:val="1"/>
    <w:link w:val="38"/>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7">
    <w:name w:val="heading 5"/>
    <w:basedOn w:val="1"/>
    <w:next w:val="1"/>
    <w:link w:val="39"/>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8">
    <w:name w:val="heading 6"/>
    <w:basedOn w:val="1"/>
    <w:next w:val="1"/>
    <w:link w:val="40"/>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9">
    <w:name w:val="heading 7"/>
    <w:basedOn w:val="1"/>
    <w:next w:val="1"/>
    <w:link w:val="41"/>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10">
    <w:name w:val="heading 8"/>
    <w:basedOn w:val="1"/>
    <w:next w:val="1"/>
    <w:link w:val="42"/>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1">
    <w:name w:val="heading 9"/>
    <w:basedOn w:val="1"/>
    <w:next w:val="1"/>
    <w:link w:val="43"/>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6"/>
    <w:qFormat/>
    <w:uiPriority w:val="0"/>
    <w:pPr>
      <w:spacing w:after="120"/>
      <w:jc w:val="both"/>
    </w:pPr>
    <w:rPr>
      <w:rFonts w:ascii="Arial" w:hAnsi="Arial"/>
    </w:rPr>
  </w:style>
  <w:style w:type="paragraph" w:styleId="12">
    <w:name w:val="List 3"/>
    <w:basedOn w:val="13"/>
    <w:qFormat/>
    <w:uiPriority w:val="0"/>
    <w:pPr>
      <w:tabs>
        <w:tab w:val="left" w:pos="2041"/>
      </w:tabs>
      <w:ind w:left="849" w:hanging="283"/>
      <w:contextualSpacing/>
    </w:pPr>
  </w:style>
  <w:style w:type="paragraph" w:styleId="13">
    <w:name w:val="List 2"/>
    <w:basedOn w:val="14"/>
    <w:qFormat/>
    <w:uiPriority w:val="0"/>
    <w:pPr>
      <w:numPr>
        <w:ilvl w:val="0"/>
        <w:numId w:val="2"/>
      </w:numPr>
      <w:spacing w:before="180" w:after="0" w:line="240" w:lineRule="auto"/>
    </w:pPr>
    <w:rPr>
      <w:rFonts w:ascii="Arial" w:hAnsi="Arial" w:eastAsia="Batang" w:cs="Times New Roman"/>
      <w:szCs w:val="20"/>
      <w:lang w:val="en-GB"/>
    </w:rPr>
  </w:style>
  <w:style w:type="paragraph" w:styleId="14">
    <w:name w:val="List"/>
    <w:basedOn w:val="1"/>
    <w:qFormat/>
    <w:uiPriority w:val="0"/>
    <w:pPr>
      <w:ind w:left="283" w:hanging="283"/>
    </w:pPr>
  </w:style>
  <w:style w:type="paragraph" w:styleId="15">
    <w:name w:val="caption"/>
    <w:basedOn w:val="1"/>
    <w:next w:val="1"/>
    <w:link w:val="64"/>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6">
    <w:name w:val="annotation text"/>
    <w:basedOn w:val="1"/>
    <w:link w:val="52"/>
    <w:unhideWhenUsed/>
    <w:qFormat/>
    <w:uiPriority w:val="99"/>
    <w:pPr>
      <w:spacing w:line="240" w:lineRule="auto"/>
    </w:pPr>
    <w:rPr>
      <w:sz w:val="20"/>
      <w:szCs w:val="20"/>
    </w:rPr>
  </w:style>
  <w:style w:type="paragraph" w:styleId="17">
    <w:name w:val="Balloon Text"/>
    <w:basedOn w:val="1"/>
    <w:link w:val="34"/>
    <w:semiHidden/>
    <w:unhideWhenUsed/>
    <w:qFormat/>
    <w:uiPriority w:val="99"/>
    <w:pPr>
      <w:spacing w:after="0" w:line="240" w:lineRule="auto"/>
    </w:pPr>
    <w:rPr>
      <w:rFonts w:ascii="Segoe UI" w:hAnsi="Segoe UI" w:cs="Segoe UI"/>
      <w:sz w:val="18"/>
      <w:szCs w:val="18"/>
    </w:rPr>
  </w:style>
  <w:style w:type="paragraph" w:styleId="18">
    <w:name w:val="footer"/>
    <w:basedOn w:val="1"/>
    <w:link w:val="45"/>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9">
    <w:name w:val="header"/>
    <w:basedOn w:val="1"/>
    <w:link w:val="49"/>
    <w:unhideWhenUsed/>
    <w:qFormat/>
    <w:uiPriority w:val="99"/>
    <w:pPr>
      <w:tabs>
        <w:tab w:val="center" w:pos="4680"/>
        <w:tab w:val="right" w:pos="9360"/>
      </w:tabs>
      <w:spacing w:after="0" w:line="240" w:lineRule="auto"/>
    </w:pPr>
  </w:style>
  <w:style w:type="paragraph" w:styleId="20">
    <w:name w:val="List 5"/>
    <w:basedOn w:val="21"/>
    <w:qFormat/>
    <w:uiPriority w:val="0"/>
    <w:pPr>
      <w:tabs>
        <w:tab w:val="left" w:pos="2041"/>
      </w:tabs>
      <w:ind w:left="1702"/>
    </w:pPr>
  </w:style>
  <w:style w:type="paragraph" w:styleId="21">
    <w:name w:val="List 4"/>
    <w:basedOn w:val="12"/>
    <w:qFormat/>
    <w:uiPriority w:val="0"/>
    <w:pPr>
      <w:ind w:left="1418"/>
    </w:pPr>
  </w:style>
  <w:style w:type="paragraph" w:styleId="22">
    <w:name w:val="table of figures"/>
    <w:basedOn w:val="2"/>
    <w:next w:val="1"/>
    <w:qFormat/>
    <w:uiPriority w:val="99"/>
    <w:pPr>
      <w:ind w:left="1701" w:hanging="1701"/>
      <w:jc w:val="left"/>
    </w:pPr>
    <w:rPr>
      <w:b/>
    </w:rPr>
  </w:style>
  <w:style w:type="paragraph" w:styleId="23">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4">
    <w:name w:val="Title"/>
    <w:basedOn w:val="1"/>
    <w:next w:val="1"/>
    <w:link w:val="71"/>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5">
    <w:name w:val="annotation subject"/>
    <w:basedOn w:val="16"/>
    <w:next w:val="16"/>
    <w:link w:val="53"/>
    <w:semiHidden/>
    <w:unhideWhenUsed/>
    <w:qFormat/>
    <w:uiPriority w:val="99"/>
    <w:rPr>
      <w:b/>
      <w:bCs/>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qFormat/>
    <w:uiPriority w:val="0"/>
  </w:style>
  <w:style w:type="character" w:styleId="30">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1">
    <w:name w:val="Emphasis"/>
    <w:basedOn w:val="28"/>
    <w:qFormat/>
    <w:uiPriority w:val="20"/>
    <w:rPr>
      <w:i/>
    </w:rPr>
  </w:style>
  <w:style w:type="character" w:styleId="32">
    <w:name w:val="Hyperlink"/>
    <w:qFormat/>
    <w:uiPriority w:val="99"/>
    <w:rPr>
      <w:color w:val="0000FF"/>
      <w:u w:val="single"/>
    </w:rPr>
  </w:style>
  <w:style w:type="character" w:styleId="33">
    <w:name w:val="annotation reference"/>
    <w:basedOn w:val="28"/>
    <w:semiHidden/>
    <w:unhideWhenUsed/>
    <w:qFormat/>
    <w:uiPriority w:val="99"/>
    <w:rPr>
      <w:sz w:val="16"/>
      <w:szCs w:val="16"/>
    </w:rPr>
  </w:style>
  <w:style w:type="character" w:customStyle="1" w:styleId="34">
    <w:name w:val="批注框文本 字符"/>
    <w:basedOn w:val="28"/>
    <w:link w:val="17"/>
    <w:semiHidden/>
    <w:qFormat/>
    <w:uiPriority w:val="99"/>
    <w:rPr>
      <w:rFonts w:ascii="Segoe UI" w:hAnsi="Segoe UI" w:cs="Segoe UI"/>
      <w:sz w:val="18"/>
      <w:szCs w:val="18"/>
    </w:rPr>
  </w:style>
  <w:style w:type="character" w:customStyle="1" w:styleId="35">
    <w:name w:val="标题 1 字符"/>
    <w:basedOn w:val="28"/>
    <w:link w:val="3"/>
    <w:qFormat/>
    <w:uiPriority w:val="0"/>
    <w:rPr>
      <w:rFonts w:ascii="Arial" w:hAnsi="Arial" w:eastAsia="Times New Roman" w:cs="Times New Roman"/>
      <w:sz w:val="36"/>
      <w:szCs w:val="20"/>
      <w:lang w:val="en-GB" w:eastAsia="ja-JP"/>
    </w:rPr>
  </w:style>
  <w:style w:type="character" w:customStyle="1" w:styleId="36">
    <w:name w:val="标题 2 字符"/>
    <w:basedOn w:val="28"/>
    <w:link w:val="4"/>
    <w:qFormat/>
    <w:uiPriority w:val="9"/>
    <w:rPr>
      <w:rFonts w:asciiTheme="majorHAnsi" w:hAnsiTheme="majorHAnsi" w:eastAsiaTheme="majorEastAsia" w:cstheme="majorBidi"/>
      <w:color w:val="2F5597" w:themeColor="accent1" w:themeShade="BF"/>
      <w:sz w:val="26"/>
      <w:szCs w:val="26"/>
    </w:rPr>
  </w:style>
  <w:style w:type="character" w:customStyle="1" w:styleId="37">
    <w:name w:val="标题 3 字符"/>
    <w:basedOn w:val="28"/>
    <w:link w:val="5"/>
    <w:qFormat/>
    <w:uiPriority w:val="9"/>
    <w:rPr>
      <w:rFonts w:asciiTheme="majorHAnsi" w:hAnsiTheme="majorHAnsi" w:eastAsiaTheme="majorEastAsia" w:cstheme="majorBidi"/>
      <w:color w:val="203864" w:themeColor="accent1" w:themeShade="80"/>
      <w:sz w:val="24"/>
      <w:szCs w:val="24"/>
    </w:rPr>
  </w:style>
  <w:style w:type="character" w:customStyle="1" w:styleId="38">
    <w:name w:val="标题 4 字符"/>
    <w:basedOn w:val="28"/>
    <w:link w:val="6"/>
    <w:semiHidden/>
    <w:qFormat/>
    <w:uiPriority w:val="9"/>
    <w:rPr>
      <w:rFonts w:asciiTheme="majorHAnsi" w:hAnsiTheme="majorHAnsi" w:eastAsiaTheme="majorEastAsia" w:cstheme="majorBidi"/>
      <w:i/>
      <w:iCs/>
      <w:color w:val="2F5597" w:themeColor="accent1" w:themeShade="BF"/>
    </w:rPr>
  </w:style>
  <w:style w:type="character" w:customStyle="1" w:styleId="39">
    <w:name w:val="标题 5 字符"/>
    <w:basedOn w:val="28"/>
    <w:link w:val="7"/>
    <w:semiHidden/>
    <w:qFormat/>
    <w:uiPriority w:val="9"/>
    <w:rPr>
      <w:rFonts w:asciiTheme="majorHAnsi" w:hAnsiTheme="majorHAnsi" w:eastAsiaTheme="majorEastAsia" w:cstheme="majorBidi"/>
      <w:color w:val="2F5597" w:themeColor="accent1" w:themeShade="BF"/>
    </w:rPr>
  </w:style>
  <w:style w:type="character" w:customStyle="1" w:styleId="40">
    <w:name w:val="标题 6 字符"/>
    <w:basedOn w:val="28"/>
    <w:link w:val="8"/>
    <w:semiHidden/>
    <w:qFormat/>
    <w:uiPriority w:val="9"/>
    <w:rPr>
      <w:rFonts w:asciiTheme="majorHAnsi" w:hAnsiTheme="majorHAnsi" w:eastAsiaTheme="majorEastAsia" w:cstheme="majorBidi"/>
      <w:color w:val="203864" w:themeColor="accent1" w:themeShade="80"/>
    </w:rPr>
  </w:style>
  <w:style w:type="character" w:customStyle="1" w:styleId="41">
    <w:name w:val="标题 7 字符"/>
    <w:basedOn w:val="28"/>
    <w:link w:val="9"/>
    <w:semiHidden/>
    <w:qFormat/>
    <w:uiPriority w:val="9"/>
    <w:rPr>
      <w:rFonts w:asciiTheme="majorHAnsi" w:hAnsiTheme="majorHAnsi" w:eastAsiaTheme="majorEastAsia" w:cstheme="majorBidi"/>
      <w:i/>
      <w:iCs/>
      <w:color w:val="203864" w:themeColor="accent1" w:themeShade="80"/>
    </w:rPr>
  </w:style>
  <w:style w:type="character" w:customStyle="1" w:styleId="42">
    <w:name w:val="标题 8 字符"/>
    <w:basedOn w:val="28"/>
    <w:link w:val="10"/>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43">
    <w:name w:val="标题 9 字符"/>
    <w:basedOn w:val="28"/>
    <w:link w:val="11"/>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4">
    <w:name w:val="3GPP_Header"/>
    <w:basedOn w:val="2"/>
    <w:qFormat/>
    <w:uiPriority w:val="0"/>
    <w:pPr>
      <w:tabs>
        <w:tab w:val="left" w:pos="1701"/>
        <w:tab w:val="right" w:pos="9639"/>
      </w:tabs>
      <w:spacing w:after="240"/>
    </w:pPr>
    <w:rPr>
      <w:b/>
      <w:sz w:val="24"/>
    </w:rPr>
  </w:style>
  <w:style w:type="character" w:customStyle="1" w:styleId="45">
    <w:name w:val="页脚 字符"/>
    <w:basedOn w:val="28"/>
    <w:link w:val="18"/>
    <w:qFormat/>
    <w:uiPriority w:val="0"/>
    <w:rPr>
      <w:rFonts w:ascii="Arial" w:hAnsi="Arial" w:eastAsia="Times New Roman" w:cs="Times New Roman"/>
      <w:b/>
      <w:i/>
      <w:sz w:val="18"/>
      <w:szCs w:val="20"/>
      <w:lang w:val="en-GB" w:eastAsia="ja-JP"/>
    </w:rPr>
  </w:style>
  <w:style w:type="character" w:customStyle="1" w:styleId="46">
    <w:name w:val="正文文本 字符"/>
    <w:basedOn w:val="28"/>
    <w:link w:val="2"/>
    <w:qFormat/>
    <w:uiPriority w:val="0"/>
    <w:rPr>
      <w:rFonts w:ascii="Arial" w:hAnsi="Arial"/>
    </w:rPr>
  </w:style>
  <w:style w:type="paragraph" w:customStyle="1" w:styleId="47">
    <w:name w:val="Proposal"/>
    <w:basedOn w:val="2"/>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8">
    <w:name w:val="Observation"/>
    <w:basedOn w:val="47"/>
    <w:qFormat/>
    <w:uiPriority w:val="0"/>
    <w:pPr>
      <w:numPr>
        <w:ilvl w:val="0"/>
        <w:numId w:val="4"/>
      </w:numPr>
    </w:pPr>
    <w:rPr>
      <w:lang w:eastAsia="ja-JP"/>
    </w:rPr>
  </w:style>
  <w:style w:type="character" w:customStyle="1" w:styleId="49">
    <w:name w:val="页眉 字符"/>
    <w:basedOn w:val="28"/>
    <w:link w:val="19"/>
    <w:qFormat/>
    <w:uiPriority w:val="99"/>
  </w:style>
  <w:style w:type="character" w:customStyle="1" w:styleId="50">
    <w:name w:val="未处理的提及1"/>
    <w:basedOn w:val="28"/>
    <w:unhideWhenUsed/>
    <w:qFormat/>
    <w:uiPriority w:val="99"/>
    <w:rPr>
      <w:color w:val="605E5C"/>
      <w:shd w:val="clear" w:color="auto" w:fill="E1DFDD"/>
    </w:rPr>
  </w:style>
  <w:style w:type="paragraph" w:styleId="51">
    <w:name w:val="List Paragraph"/>
    <w:basedOn w:val="1"/>
    <w:link w:val="65"/>
    <w:qFormat/>
    <w:uiPriority w:val="34"/>
    <w:pPr>
      <w:ind w:left="720"/>
      <w:contextualSpacing/>
    </w:pPr>
  </w:style>
  <w:style w:type="character" w:customStyle="1" w:styleId="52">
    <w:name w:val="批注文字 字符"/>
    <w:basedOn w:val="28"/>
    <w:link w:val="16"/>
    <w:qFormat/>
    <w:uiPriority w:val="99"/>
    <w:rPr>
      <w:sz w:val="20"/>
      <w:szCs w:val="20"/>
    </w:rPr>
  </w:style>
  <w:style w:type="character" w:customStyle="1" w:styleId="53">
    <w:name w:val="批注主题 字符"/>
    <w:basedOn w:val="52"/>
    <w:link w:val="25"/>
    <w:semiHidden/>
    <w:qFormat/>
    <w:uiPriority w:val="99"/>
    <w:rPr>
      <w:b/>
      <w:bCs/>
      <w:sz w:val="20"/>
      <w:szCs w:val="20"/>
    </w:rPr>
  </w:style>
  <w:style w:type="paragraph" w:customStyle="1" w:styleId="54">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5">
    <w:name w:val="B1"/>
    <w:basedOn w:val="1"/>
    <w:link w:val="56"/>
    <w:qFormat/>
    <w:uiPriority w:val="0"/>
    <w:pPr>
      <w:spacing w:after="180" w:line="240" w:lineRule="auto"/>
      <w:ind w:left="568" w:hanging="284"/>
    </w:pPr>
    <w:rPr>
      <w:rFonts w:eastAsia="宋体" w:cs="Times New Roman"/>
      <w:sz w:val="20"/>
      <w:szCs w:val="20"/>
      <w:lang w:val="en-GB"/>
    </w:rPr>
  </w:style>
  <w:style w:type="character" w:customStyle="1" w:styleId="56">
    <w:name w:val="B1 Char1"/>
    <w:link w:val="55"/>
    <w:qFormat/>
    <w:uiPriority w:val="0"/>
    <w:rPr>
      <w:rFonts w:ascii="Times New Roman" w:hAnsi="Times New Roman" w:eastAsia="宋体" w:cs="Times New Roman"/>
      <w:sz w:val="20"/>
      <w:szCs w:val="20"/>
      <w:lang w:val="en-GB"/>
    </w:rPr>
  </w:style>
  <w:style w:type="table" w:customStyle="1" w:styleId="57">
    <w:name w:val="网格表 5 深色 - 着色 11"/>
    <w:basedOn w:val="26"/>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8">
    <w:name w:val="网格表 1 浅色 - 着色 11"/>
    <w:basedOn w:val="26"/>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9">
    <w:name w:val="网格表 1 浅色 - 着色 51"/>
    <w:basedOn w:val="26"/>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60">
    <w:name w:val="网格表 4 - 着色 51"/>
    <w:basedOn w:val="26"/>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61">
    <w:name w:val="网格表 41"/>
    <w:basedOn w:val="26"/>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62">
    <w:name w:val="网格表 5 深色1"/>
    <w:basedOn w:val="2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63">
    <w:name w:val="网格表 4 - 着色 11"/>
    <w:basedOn w:val="26"/>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4">
    <w:name w:val="题注 字符"/>
    <w:link w:val="15"/>
    <w:qFormat/>
    <w:uiPriority w:val="35"/>
    <w:rPr>
      <w:i/>
      <w:iCs/>
      <w:color w:val="44546A" w:themeColor="text2"/>
      <w:sz w:val="18"/>
      <w:szCs w:val="18"/>
      <w14:textFill>
        <w14:solidFill>
          <w14:schemeClr w14:val="tx2"/>
        </w14:solidFill>
      </w14:textFill>
    </w:rPr>
  </w:style>
  <w:style w:type="character" w:customStyle="1" w:styleId="65">
    <w:name w:val="列表段落 字符"/>
    <w:link w:val="51"/>
    <w:qFormat/>
    <w:locked/>
    <w:uiPriority w:val="34"/>
  </w:style>
  <w:style w:type="paragraph" w:customStyle="1" w:styleId="66">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7">
    <w:name w:val="apple-converted-space"/>
    <w:basedOn w:val="28"/>
    <w:qFormat/>
    <w:uiPriority w:val="0"/>
  </w:style>
  <w:style w:type="character" w:customStyle="1" w:styleId="68">
    <w:name w:val="@他1"/>
    <w:basedOn w:val="28"/>
    <w:unhideWhenUsed/>
    <w:qFormat/>
    <w:uiPriority w:val="99"/>
    <w:rPr>
      <w:color w:val="2B579A"/>
      <w:shd w:val="clear" w:color="auto" w:fill="E1DFDD"/>
    </w:rPr>
  </w:style>
  <w:style w:type="paragraph" w:customStyle="1" w:styleId="69">
    <w:name w:val="Agreement"/>
    <w:basedOn w:val="1"/>
    <w:next w:val="70"/>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paragraph" w:customStyle="1" w:styleId="70">
    <w:name w:val="Doc-text2"/>
    <w:basedOn w:val="1"/>
    <w:qFormat/>
    <w:uiPriority w:val="0"/>
    <w:pPr>
      <w:tabs>
        <w:tab w:val="left" w:pos="1622"/>
      </w:tabs>
      <w:spacing w:before="0"/>
      <w:ind w:left="1622" w:hanging="363"/>
    </w:pPr>
  </w:style>
  <w:style w:type="character" w:customStyle="1" w:styleId="71">
    <w:name w:val="标题 字符"/>
    <w:basedOn w:val="28"/>
    <w:link w:val="24"/>
    <w:qFormat/>
    <w:uiPriority w:val="10"/>
    <w:rPr>
      <w:rFonts w:asciiTheme="majorHAnsi" w:hAnsiTheme="majorHAnsi" w:eastAsiaTheme="majorEastAsia" w:cstheme="majorBidi"/>
      <w:spacing w:val="-10"/>
      <w:kern w:val="28"/>
      <w:sz w:val="56"/>
      <w:szCs w:val="56"/>
    </w:rPr>
  </w:style>
  <w:style w:type="paragraph" w:customStyle="1" w:styleId="72">
    <w:name w:val="IvD bodytext"/>
    <w:basedOn w:val="2"/>
    <w:link w:val="73"/>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73">
    <w:name w:val="IvD bodytext Char"/>
    <w:basedOn w:val="28"/>
    <w:link w:val="72"/>
    <w:qFormat/>
    <w:uiPriority w:val="0"/>
    <w:rPr>
      <w:rFonts w:ascii="Arial" w:hAnsi="Arial" w:cs="Times New Roman"/>
      <w:spacing w:val="2"/>
      <w:sz w:val="20"/>
      <w:szCs w:val="20"/>
    </w:rPr>
  </w:style>
  <w:style w:type="paragraph" w:customStyle="1" w:styleId="74">
    <w:name w:val="YJ-Proposal"/>
    <w:basedOn w:val="1"/>
    <w:qFormat/>
    <w:uiPriority w:val="0"/>
    <w:pPr>
      <w:numPr>
        <w:ilvl w:val="0"/>
        <w:numId w:val="6"/>
      </w:numPr>
    </w:pPr>
    <w:rPr>
      <w:b/>
      <w:bCs/>
      <w:i/>
      <w:iCs/>
      <w:sz w:val="20"/>
      <w:lang w:val="en-GB"/>
    </w:rPr>
  </w:style>
  <w:style w:type="paragraph" w:customStyle="1" w:styleId="75">
    <w:name w:val="CR Cover Page"/>
    <w:qFormat/>
    <w:uiPriority w:val="0"/>
    <w:pPr>
      <w:spacing w:after="120"/>
    </w:pPr>
    <w:rPr>
      <w:rFonts w:ascii="Arial" w:hAnsi="Arial" w:eastAsia="Batang" w:cs="Times New Roman"/>
      <w:lang w:val="en-GB" w:eastAsia="en-US" w:bidi="ar-SA"/>
    </w:rPr>
  </w:style>
  <w:style w:type="character" w:customStyle="1" w:styleId="76">
    <w:name w:val="normaltextrun"/>
    <w:basedOn w:val="28"/>
    <w:qFormat/>
    <w:uiPriority w:val="0"/>
  </w:style>
  <w:style w:type="character" w:customStyle="1" w:styleId="77">
    <w:name w:val="Default Paragraph Font 2"/>
    <w:unhideWhenUsed/>
    <w:qFormat/>
    <w:uiPriority w:val="1"/>
  </w:style>
  <w:style w:type="paragraph" w:customStyle="1" w:styleId="78">
    <w:name w:val="B2"/>
    <w:basedOn w:val="13"/>
    <w:qFormat/>
    <w:uiPriority w:val="0"/>
    <w:pPr>
      <w:spacing w:before="0" w:after="180"/>
      <w:ind w:left="851" w:hanging="284"/>
      <w:contextualSpacing w:val="0"/>
    </w:pPr>
    <w:rPr>
      <w:rFonts w:ascii="Times New Roman" w:hAnsi="Times New Roman" w:eastAsia="Malgun Gothic"/>
      <w:szCs w:val="20"/>
      <w:lang w:val="zh-CN" w:eastAsia="en-US"/>
    </w:rPr>
  </w:style>
  <w:style w:type="paragraph" w:customStyle="1" w:styleId="79">
    <w:name w:val="B3"/>
    <w:basedOn w:val="12"/>
    <w:qFormat/>
    <w:uiPriority w:val="0"/>
    <w:pPr>
      <w:spacing w:before="0" w:after="180"/>
      <w:ind w:left="1135" w:hanging="284"/>
      <w:contextualSpacing w:val="0"/>
    </w:pPr>
    <w:rPr>
      <w:rFonts w:ascii="Times New Roman" w:hAnsi="Times New Roman" w:eastAsia="Malgun Gothic"/>
      <w:szCs w:val="20"/>
      <w:lang w:val="zh-CN" w:eastAsia="en-US"/>
    </w:rPr>
  </w:style>
  <w:style w:type="paragraph" w:customStyle="1" w:styleId="80">
    <w:name w:val="B4"/>
    <w:basedOn w:val="21"/>
    <w:qFormat/>
    <w:uiPriority w:val="0"/>
  </w:style>
  <w:style w:type="paragraph" w:customStyle="1" w:styleId="81">
    <w:name w:val="B5"/>
    <w:basedOn w:val="20"/>
    <w:qFormat/>
    <w:uiPriority w:val="0"/>
  </w:style>
  <w:style w:type="paragraph" w:customStyle="1" w:styleId="8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1742</Words>
  <Characters>9932</Characters>
  <Lines>82</Lines>
  <Paragraphs>23</Paragraphs>
  <TotalTime>0</TotalTime>
  <ScaleCrop>false</ScaleCrop>
  <LinksUpToDate>false</LinksUpToDate>
  <CharactersWithSpaces>11651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2022-05-19T14:46:00Z</dcterms:created>
  <dc:creator>ZTE(Zhihong)</dc:creator>
  <cp:lastModifiedBy>ZTE</cp:lastModifiedBy>
  <dcterms:modified xsi:type="dcterms:W3CDTF">2024-02-19T14:01:44Z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ED6E0F9350F64FBAB8AD8F18DB3D5B9B</vt:lpwstr>
  </property>
</Properties>
</file>